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1CD11" w14:textId="77777777" w:rsidR="00AE3721" w:rsidRDefault="00AE3721" w:rsidP="00D85808">
      <w:pPr>
        <w:spacing w:after="0" w:line="240" w:lineRule="auto"/>
        <w:ind w:left="720"/>
        <w:rPr>
          <w:rFonts w:cstheme="minorHAnsi"/>
          <w:sz w:val="24"/>
          <w:szCs w:val="24"/>
        </w:rPr>
        <w:sectPr w:rsidR="00AE3721" w:rsidSect="00D85808">
          <w:headerReference w:type="default" r:id="rId8"/>
          <w:footerReference w:type="default" r:id="rId9"/>
          <w:headerReference w:type="first" r:id="rId10"/>
          <w:pgSz w:w="12240" w:h="15840"/>
          <w:pgMar w:top="720" w:right="720" w:bottom="720" w:left="720" w:header="720" w:footer="720" w:gutter="0"/>
          <w:cols w:space="720"/>
          <w:titlePg/>
          <w:docGrid w:linePitch="360"/>
        </w:sectPr>
      </w:pPr>
    </w:p>
    <w:p w14:paraId="137EC46A" w14:textId="1E094379" w:rsidR="00D85808" w:rsidRPr="00D85808" w:rsidRDefault="00985CB0" w:rsidP="00D85808">
      <w:pPr>
        <w:spacing w:after="80" w:line="240" w:lineRule="auto"/>
        <w:rPr>
          <w:rFonts w:eastAsia="Times New Roman" w:cstheme="minorHAnsi"/>
          <w:b/>
          <w:sz w:val="24"/>
          <w:szCs w:val="24"/>
          <w:u w:val="single"/>
        </w:rPr>
      </w:pPr>
      <w:r w:rsidRPr="00D85808">
        <w:rPr>
          <w:rFonts w:eastAsia="Times New Roman" w:cstheme="minorHAnsi"/>
          <w:b/>
          <w:noProof/>
          <w:sz w:val="24"/>
          <w:szCs w:val="24"/>
        </w:rPr>
        <mc:AlternateContent>
          <mc:Choice Requires="wps">
            <w:drawing>
              <wp:anchor distT="45720" distB="45720" distL="114300" distR="114300" simplePos="0" relativeHeight="251659264" behindDoc="0" locked="0" layoutInCell="1" allowOverlap="1" wp14:anchorId="686D4EB7" wp14:editId="336E85E0">
                <wp:simplePos x="0" y="0"/>
                <wp:positionH relativeFrom="margin">
                  <wp:posOffset>3752850</wp:posOffset>
                </wp:positionH>
                <wp:positionV relativeFrom="paragraph">
                  <wp:posOffset>6985</wp:posOffset>
                </wp:positionV>
                <wp:extent cx="2905125" cy="695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695325"/>
                        </a:xfrm>
                        <a:prstGeom prst="rect">
                          <a:avLst/>
                        </a:prstGeom>
                        <a:solidFill>
                          <a:srgbClr val="157573"/>
                        </a:solidFill>
                        <a:ln w="9525">
                          <a:noFill/>
                          <a:miter lim="800000"/>
                          <a:headEnd/>
                          <a:tailEnd/>
                        </a:ln>
                      </wps:spPr>
                      <wps:txbx>
                        <w:txbxContent>
                          <w:p w14:paraId="4050EABA" w14:textId="1A5A0D56" w:rsidR="00D85808" w:rsidRPr="00985CB0" w:rsidRDefault="00D85808" w:rsidP="00D85808">
                            <w:pPr>
                              <w:spacing w:after="80" w:line="240" w:lineRule="auto"/>
                              <w:jc w:val="center"/>
                              <w:rPr>
                                <w:rFonts w:eastAsia="Times New Roman" w:cstheme="minorHAnsi"/>
                                <w:b/>
                                <w:color w:val="FFFFFF" w:themeColor="background1"/>
                              </w:rPr>
                            </w:pPr>
                            <w:r w:rsidRPr="00D85808">
                              <w:rPr>
                                <w:rFonts w:eastAsia="Times New Roman" w:cstheme="minorHAnsi"/>
                                <w:b/>
                                <w:color w:val="FFFFFF" w:themeColor="background1"/>
                              </w:rPr>
                              <w:t>If you are not sure of the language citation to be used, please call your analyst at the State Budget Division before submitting your BAR.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D4EB7" id="_x0000_t202" coordsize="21600,21600" o:spt="202" path="m,l,21600r21600,l21600,xe">
                <v:stroke joinstyle="miter"/>
                <v:path gradientshapeok="t" o:connecttype="rect"/>
              </v:shapetype>
              <v:shape id="Text Box 2" o:spid="_x0000_s1026" type="#_x0000_t202" style="position:absolute;margin-left:295.5pt;margin-top:.55pt;width:228.75pt;height:5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" fillcolor="#157573" stroked="f">
                <v:textbox>
                  <w:txbxContent>
                    <w:p w14:paraId="4050EABA" w14:textId="1A5A0D56" w:rsidR="00D85808" w:rsidRPr="00985CB0" w:rsidRDefault="00D85808" w:rsidP="00D85808">
                      <w:pPr>
                        <w:spacing w:after="80" w:line="240" w:lineRule="auto"/>
                        <w:jc w:val="center"/>
                        <w:rPr>
                          <w:rFonts w:eastAsia="Times New Roman" w:cstheme="minorHAnsi"/>
                          <w:b/>
                          <w:color w:val="FFFFFF" w:themeColor="background1"/>
                        </w:rPr>
                      </w:pPr>
                      <w:r w:rsidRPr="00D85808">
                        <w:rPr>
                          <w:rFonts w:eastAsia="Times New Roman" w:cstheme="minorHAnsi"/>
                          <w:b/>
                          <w:color w:val="FFFFFF" w:themeColor="background1"/>
                        </w:rPr>
                        <w:t>If you are not sure of the language citation to be used, please call your analyst at the State Budget Division before submitting your BAR.</w:t>
                      </w:r>
                    </w:p>
                  </w:txbxContent>
                </v:textbox>
                <w10:wrap type="square" anchorx="margin"/>
              </v:shape>
            </w:pict>
          </mc:Fallback>
        </mc:AlternateContent>
      </w:r>
      <w:r w:rsidR="00D85808" w:rsidRPr="00D85808">
        <w:rPr>
          <w:rFonts w:eastAsia="Times New Roman" w:cstheme="minorHAnsi"/>
          <w:sz w:val="24"/>
          <w:szCs w:val="24"/>
        </w:rPr>
        <w:t xml:space="preserve">The following list shows the statutory authority </w:t>
      </w:r>
      <w:proofErr w:type="gramStart"/>
      <w:r w:rsidR="00D85808" w:rsidRPr="00D85808">
        <w:rPr>
          <w:rFonts w:eastAsia="Times New Roman" w:cstheme="minorHAnsi"/>
          <w:sz w:val="24"/>
          <w:szCs w:val="24"/>
        </w:rPr>
        <w:t>most commonly used</w:t>
      </w:r>
      <w:proofErr w:type="gramEnd"/>
      <w:r w:rsidR="00D85808" w:rsidRPr="00D85808">
        <w:rPr>
          <w:rFonts w:eastAsia="Times New Roman" w:cstheme="minorHAnsi"/>
          <w:sz w:val="24"/>
          <w:szCs w:val="24"/>
        </w:rPr>
        <w:t xml:space="preserve">. It is to be considered a guideline and does not represent all existing statutory authority for budget adjustments.  </w:t>
      </w:r>
    </w:p>
    <w:p w14:paraId="53C65C07" w14:textId="1C41A951" w:rsidR="00D85808" w:rsidRPr="00D85808" w:rsidRDefault="00D85808" w:rsidP="00D85808">
      <w:pPr>
        <w:spacing w:after="80" w:line="240" w:lineRule="auto"/>
        <w:rPr>
          <w:rFonts w:eastAsia="Times New Roman" w:cstheme="minorHAnsi"/>
          <w:b/>
          <w:color w:val="0E504F"/>
          <w:sz w:val="28"/>
          <w:szCs w:val="28"/>
          <w:u w:val="single"/>
        </w:rPr>
      </w:pPr>
      <w:r w:rsidRPr="00D85808">
        <w:rPr>
          <w:rFonts w:eastAsia="Times New Roman" w:cstheme="minorHAnsi"/>
          <w:b/>
          <w:color w:val="0E504F"/>
          <w:sz w:val="28"/>
          <w:szCs w:val="28"/>
          <w:u w:val="single"/>
        </w:rPr>
        <w:t>General Fund, Other State Funds and Internal Service Funds/Interagency Transfers:</w:t>
      </w:r>
    </w:p>
    <w:p w14:paraId="7BC56543" w14:textId="77777777" w:rsidR="00D85808" w:rsidRPr="00D85808" w:rsidRDefault="00D85808" w:rsidP="00D85808">
      <w:pPr>
        <w:spacing w:after="80" w:line="240" w:lineRule="auto"/>
        <w:ind w:left="720"/>
        <w:rPr>
          <w:rFonts w:eastAsia="Times New Roman" w:cstheme="minorHAnsi"/>
          <w:b/>
          <w:sz w:val="24"/>
          <w:szCs w:val="24"/>
        </w:rPr>
      </w:pPr>
    </w:p>
    <w:p w14:paraId="5ECAB625" w14:textId="016D1539" w:rsidR="00D85808" w:rsidRPr="00D85808" w:rsidRDefault="00D85808" w:rsidP="00D85808">
      <w:pPr>
        <w:numPr>
          <w:ilvl w:val="0"/>
          <w:numId w:val="5"/>
        </w:numPr>
        <w:spacing w:after="80" w:line="240" w:lineRule="auto"/>
        <w:rPr>
          <w:rFonts w:eastAsia="Times New Roman" w:cstheme="minorHAnsi"/>
          <w:sz w:val="24"/>
          <w:szCs w:val="24"/>
        </w:rPr>
      </w:pPr>
      <w:bookmarkStart w:id="0" w:name="_Hlk202337610"/>
      <w:r w:rsidRPr="00D85808">
        <w:rPr>
          <w:rFonts w:eastAsia="Times New Roman" w:cstheme="minorHAnsi"/>
          <w:b/>
          <w:sz w:val="24"/>
          <w:szCs w:val="24"/>
        </w:rPr>
        <w:t>Laws of 202</w:t>
      </w:r>
      <w:r w:rsidR="00C45B7A">
        <w:rPr>
          <w:rFonts w:eastAsia="Times New Roman" w:cstheme="minorHAnsi"/>
          <w:b/>
          <w:sz w:val="24"/>
          <w:szCs w:val="24"/>
        </w:rPr>
        <w:t>5</w:t>
      </w:r>
      <w:r w:rsidRPr="00D85808">
        <w:rPr>
          <w:rFonts w:eastAsia="Times New Roman" w:cstheme="minorHAnsi"/>
          <w:b/>
          <w:sz w:val="24"/>
          <w:szCs w:val="24"/>
        </w:rPr>
        <w:t xml:space="preserve">, </w:t>
      </w:r>
      <w:r w:rsidR="00C45B7A">
        <w:rPr>
          <w:rFonts w:eastAsia="Times New Roman" w:cstheme="minorHAnsi"/>
          <w:b/>
          <w:sz w:val="24"/>
          <w:szCs w:val="24"/>
        </w:rPr>
        <w:t>1</w:t>
      </w:r>
      <w:r w:rsidR="00C45B7A" w:rsidRPr="00C45B7A">
        <w:rPr>
          <w:rFonts w:eastAsia="Times New Roman" w:cstheme="minorHAnsi"/>
          <w:b/>
          <w:sz w:val="24"/>
          <w:szCs w:val="24"/>
          <w:vertAlign w:val="superscript"/>
        </w:rPr>
        <w:t>st</w:t>
      </w:r>
      <w:r w:rsidR="00C45B7A">
        <w:rPr>
          <w:rFonts w:eastAsia="Times New Roman" w:cstheme="minorHAnsi"/>
          <w:b/>
          <w:sz w:val="24"/>
          <w:szCs w:val="24"/>
        </w:rPr>
        <w:t xml:space="preserve"> </w:t>
      </w:r>
      <w:r w:rsidRPr="00D85808">
        <w:rPr>
          <w:rFonts w:eastAsia="Times New Roman" w:cstheme="minorHAnsi"/>
          <w:b/>
          <w:sz w:val="24"/>
          <w:szCs w:val="24"/>
        </w:rPr>
        <w:t>Session, Chapter</w:t>
      </w:r>
      <w:r w:rsidR="00C45B7A">
        <w:rPr>
          <w:rFonts w:eastAsia="Times New Roman" w:cstheme="minorHAnsi"/>
          <w:b/>
          <w:sz w:val="24"/>
          <w:szCs w:val="24"/>
        </w:rPr>
        <w:t xml:space="preserve"> 160</w:t>
      </w:r>
      <w:r w:rsidRPr="00D85808">
        <w:rPr>
          <w:rFonts w:eastAsia="Times New Roman" w:cstheme="minorHAnsi"/>
          <w:b/>
          <w:sz w:val="24"/>
          <w:szCs w:val="24"/>
        </w:rPr>
        <w:t>, Section 3 (F)</w:t>
      </w:r>
      <w:r w:rsidRPr="00D85808">
        <w:rPr>
          <w:rFonts w:eastAsia="Times New Roman" w:cstheme="minorHAnsi"/>
          <w:sz w:val="24"/>
          <w:szCs w:val="24"/>
        </w:rPr>
        <w:t xml:space="preserve"> </w:t>
      </w:r>
      <w:bookmarkEnd w:id="0"/>
      <w:r w:rsidRPr="00D85808">
        <w:rPr>
          <w:rFonts w:eastAsia="Times New Roman" w:cstheme="minorHAnsi"/>
          <w:sz w:val="24"/>
          <w:szCs w:val="24"/>
        </w:rPr>
        <w:t>allows for FY2</w:t>
      </w:r>
      <w:r w:rsidR="00BB7FFB">
        <w:rPr>
          <w:rFonts w:eastAsia="Times New Roman" w:cstheme="minorHAnsi"/>
          <w:sz w:val="24"/>
          <w:szCs w:val="24"/>
        </w:rPr>
        <w:t>6</w:t>
      </w:r>
      <w:r w:rsidRPr="00D85808">
        <w:rPr>
          <w:rFonts w:eastAsia="Times New Roman" w:cstheme="minorHAnsi"/>
          <w:sz w:val="24"/>
          <w:szCs w:val="24"/>
        </w:rPr>
        <w:t xml:space="preserve"> budget decreases for items that are non-federal grant related.  Note that tracking incoming revenue is an essential component of agency budget management and decrease BARs should be submitted to ensure agencies do not overspend revenue that is </w:t>
      </w:r>
      <w:proofErr w:type="gramStart"/>
      <w:r w:rsidRPr="00D85808">
        <w:rPr>
          <w:rFonts w:eastAsia="Times New Roman" w:cstheme="minorHAnsi"/>
          <w:sz w:val="24"/>
          <w:szCs w:val="24"/>
        </w:rPr>
        <w:t>actually available</w:t>
      </w:r>
      <w:proofErr w:type="gramEnd"/>
      <w:r w:rsidRPr="00D85808">
        <w:rPr>
          <w:rFonts w:eastAsia="Times New Roman" w:cstheme="minorHAnsi"/>
          <w:sz w:val="24"/>
          <w:szCs w:val="24"/>
        </w:rPr>
        <w:t>.</w:t>
      </w:r>
    </w:p>
    <w:p w14:paraId="21BA9E8E" w14:textId="77777777" w:rsidR="00D85808" w:rsidRPr="00D85808" w:rsidRDefault="00D85808" w:rsidP="00D85808">
      <w:pPr>
        <w:spacing w:after="80" w:line="240" w:lineRule="auto"/>
        <w:ind w:left="720"/>
        <w:rPr>
          <w:rFonts w:eastAsia="Times New Roman" w:cstheme="minorHAnsi"/>
          <w:i/>
          <w:sz w:val="24"/>
          <w:szCs w:val="24"/>
        </w:rPr>
      </w:pPr>
    </w:p>
    <w:p w14:paraId="0F6183C2" w14:textId="77777777" w:rsidR="00D85808" w:rsidRPr="00D85808" w:rsidRDefault="00D85808" w:rsidP="00D85808">
      <w:pPr>
        <w:spacing w:after="80" w:line="240" w:lineRule="auto"/>
        <w:ind w:left="720"/>
        <w:rPr>
          <w:rFonts w:eastAsia="Times New Roman" w:cstheme="minorHAnsi"/>
          <w:i/>
          <w:sz w:val="24"/>
          <w:szCs w:val="24"/>
        </w:rPr>
      </w:pPr>
      <w:r w:rsidRPr="00D85808">
        <w:rPr>
          <w:rFonts w:eastAsia="Times New Roman" w:cstheme="minorHAnsi"/>
          <w:i/>
          <w:sz w:val="24"/>
          <w:szCs w:val="24"/>
        </w:rPr>
        <w:t xml:space="preserve">F. The state budget division shall monitor revenue received by agencies from sources other than the general fund and shall reduce the operating budget of any agency whose revenue from such sources is not meeting projections. The state budget division shall notify the legislative finance committee of any operating budget reduced pursuant to this subsection. </w:t>
      </w:r>
    </w:p>
    <w:p w14:paraId="2B08589C" w14:textId="77777777" w:rsidR="00D85808" w:rsidRPr="00D85808" w:rsidRDefault="00D85808" w:rsidP="00D85808">
      <w:pPr>
        <w:spacing w:after="80" w:line="240" w:lineRule="auto"/>
        <w:ind w:left="720"/>
        <w:rPr>
          <w:rFonts w:eastAsia="Times New Roman" w:cstheme="minorHAnsi"/>
          <w:i/>
          <w:sz w:val="24"/>
          <w:szCs w:val="24"/>
        </w:rPr>
      </w:pPr>
    </w:p>
    <w:p w14:paraId="7A3C15CF" w14:textId="6815230D" w:rsidR="00D85808" w:rsidRPr="00D85808" w:rsidRDefault="00D85808" w:rsidP="00D85808">
      <w:pPr>
        <w:numPr>
          <w:ilvl w:val="0"/>
          <w:numId w:val="5"/>
        </w:numPr>
        <w:spacing w:after="80" w:line="240" w:lineRule="auto"/>
        <w:rPr>
          <w:rFonts w:eastAsia="Times New Roman" w:cstheme="minorHAnsi"/>
          <w:sz w:val="24"/>
          <w:szCs w:val="24"/>
        </w:rPr>
      </w:pPr>
      <w:bookmarkStart w:id="1" w:name="_Hlk202337631"/>
      <w:r w:rsidRPr="00D85808">
        <w:rPr>
          <w:rFonts w:eastAsia="Times New Roman" w:cstheme="minorHAnsi"/>
          <w:b/>
          <w:sz w:val="24"/>
          <w:szCs w:val="24"/>
        </w:rPr>
        <w:t>Laws of 202</w:t>
      </w:r>
      <w:r w:rsidR="00C45B7A">
        <w:rPr>
          <w:rFonts w:eastAsia="Times New Roman" w:cstheme="minorHAnsi"/>
          <w:b/>
          <w:sz w:val="24"/>
          <w:szCs w:val="24"/>
        </w:rPr>
        <w:t>5</w:t>
      </w:r>
      <w:r w:rsidRPr="00D85808">
        <w:rPr>
          <w:rFonts w:eastAsia="Times New Roman" w:cstheme="minorHAnsi"/>
          <w:b/>
          <w:sz w:val="24"/>
          <w:szCs w:val="24"/>
        </w:rPr>
        <w:t xml:space="preserve">, </w:t>
      </w:r>
      <w:r w:rsidR="00C45B7A">
        <w:rPr>
          <w:rFonts w:eastAsia="Times New Roman" w:cstheme="minorHAnsi"/>
          <w:b/>
          <w:sz w:val="24"/>
          <w:szCs w:val="24"/>
        </w:rPr>
        <w:t>1</w:t>
      </w:r>
      <w:r w:rsidR="00C45B7A" w:rsidRPr="00C45B7A">
        <w:rPr>
          <w:rFonts w:eastAsia="Times New Roman" w:cstheme="minorHAnsi"/>
          <w:b/>
          <w:sz w:val="24"/>
          <w:szCs w:val="24"/>
          <w:vertAlign w:val="superscript"/>
        </w:rPr>
        <w:t>st</w:t>
      </w:r>
      <w:r w:rsidRPr="00D85808">
        <w:rPr>
          <w:rFonts w:eastAsia="Times New Roman" w:cstheme="minorHAnsi"/>
          <w:b/>
          <w:sz w:val="24"/>
          <w:szCs w:val="24"/>
        </w:rPr>
        <w:t xml:space="preserve"> Session, Chapter </w:t>
      </w:r>
      <w:r w:rsidR="00C45B7A">
        <w:rPr>
          <w:rFonts w:eastAsia="Times New Roman" w:cstheme="minorHAnsi"/>
          <w:b/>
          <w:sz w:val="24"/>
          <w:szCs w:val="24"/>
        </w:rPr>
        <w:t>160</w:t>
      </w:r>
      <w:r w:rsidRPr="00D85808">
        <w:rPr>
          <w:rFonts w:eastAsia="Times New Roman" w:cstheme="minorHAnsi"/>
          <w:b/>
          <w:sz w:val="24"/>
          <w:szCs w:val="24"/>
        </w:rPr>
        <w:t>, Section 3 (I)</w:t>
      </w:r>
      <w:r w:rsidRPr="00D85808">
        <w:rPr>
          <w:rFonts w:eastAsia="Times New Roman" w:cstheme="minorHAnsi"/>
          <w:sz w:val="24"/>
          <w:szCs w:val="24"/>
        </w:rPr>
        <w:t xml:space="preserve"> </w:t>
      </w:r>
      <w:bookmarkEnd w:id="1"/>
      <w:r w:rsidRPr="00D85808">
        <w:rPr>
          <w:rFonts w:eastAsia="Times New Roman" w:cstheme="minorHAnsi"/>
          <w:sz w:val="24"/>
          <w:szCs w:val="24"/>
        </w:rPr>
        <w:t>allows for FY2</w:t>
      </w:r>
      <w:r w:rsidR="00BB7FFB">
        <w:rPr>
          <w:rFonts w:eastAsia="Times New Roman" w:cstheme="minorHAnsi"/>
          <w:sz w:val="24"/>
          <w:szCs w:val="24"/>
        </w:rPr>
        <w:t>6</w:t>
      </w:r>
      <w:r w:rsidRPr="00D85808">
        <w:rPr>
          <w:rFonts w:eastAsia="Times New Roman" w:cstheme="minorHAnsi"/>
          <w:sz w:val="24"/>
          <w:szCs w:val="24"/>
        </w:rPr>
        <w:t xml:space="preserve"> budget increases for certain items such as grants, Board of Finance loans, insurance settlements, gifts, donations, other legislation, etc. If using other acts of the legislature</w:t>
      </w:r>
      <w:r>
        <w:rPr>
          <w:rFonts w:eastAsia="Times New Roman" w:cstheme="minorHAnsi"/>
          <w:sz w:val="24"/>
          <w:szCs w:val="24"/>
        </w:rPr>
        <w:t>,</w:t>
      </w:r>
      <w:r w:rsidRPr="00D85808">
        <w:rPr>
          <w:rFonts w:eastAsia="Times New Roman" w:cstheme="minorHAnsi"/>
          <w:sz w:val="24"/>
          <w:szCs w:val="24"/>
        </w:rPr>
        <w:t xml:space="preserve"> </w:t>
      </w:r>
      <w:r w:rsidRPr="00D85808">
        <w:rPr>
          <w:rFonts w:eastAsia="Times New Roman" w:cstheme="minorHAnsi"/>
          <w:b/>
          <w:sz w:val="24"/>
          <w:szCs w:val="24"/>
          <w:u w:val="single"/>
        </w:rPr>
        <w:t>make sure to include a copy of that statute and highlight the section of the statute providing your agency with the appropriation authority.</w:t>
      </w:r>
    </w:p>
    <w:p w14:paraId="6E1DAECA" w14:textId="77777777" w:rsidR="00D85808" w:rsidRPr="00D85808" w:rsidRDefault="00D85808" w:rsidP="00D85808">
      <w:pPr>
        <w:spacing w:after="80" w:line="240" w:lineRule="auto"/>
        <w:ind w:left="720"/>
        <w:rPr>
          <w:rFonts w:eastAsia="Times New Roman" w:cstheme="minorHAnsi"/>
          <w:b/>
          <w:sz w:val="24"/>
          <w:szCs w:val="24"/>
        </w:rPr>
      </w:pPr>
    </w:p>
    <w:p w14:paraId="03C780AF" w14:textId="77777777" w:rsidR="00D85808" w:rsidRPr="00D85808" w:rsidRDefault="00D85808" w:rsidP="00D85808">
      <w:pPr>
        <w:spacing w:after="80" w:line="240" w:lineRule="auto"/>
        <w:ind w:left="720"/>
        <w:rPr>
          <w:rFonts w:eastAsia="Times New Roman" w:cstheme="minorHAnsi"/>
          <w:i/>
          <w:sz w:val="24"/>
          <w:szCs w:val="24"/>
        </w:rPr>
      </w:pPr>
      <w:r w:rsidRPr="00D85808">
        <w:rPr>
          <w:rFonts w:eastAsia="Times New Roman" w:cstheme="minorHAnsi"/>
          <w:i/>
          <w:sz w:val="24"/>
          <w:szCs w:val="24"/>
        </w:rPr>
        <w:t xml:space="preserve">I. Pursuant to Sections 6-3-23 through 6-3-25 NMSA 1978, agencies whose revenue from state board of finance loans, from revenue appropriated by other acts of the legislature, or gifts, grants, donations, bequests, insurance settlements, refunds or payments into revolving funds exceeds specifically appropriated amounts may request budget increases from the state budget division. If approved by the state budget division, such money is </w:t>
      </w:r>
      <w:proofErr w:type="gramStart"/>
      <w:r w:rsidRPr="00D85808">
        <w:rPr>
          <w:rFonts w:eastAsia="Times New Roman" w:cstheme="minorHAnsi"/>
          <w:i/>
          <w:sz w:val="24"/>
          <w:szCs w:val="24"/>
        </w:rPr>
        <w:t>appropriated</w:t>
      </w:r>
      <w:proofErr w:type="gramEnd"/>
      <w:r w:rsidRPr="00D85808">
        <w:rPr>
          <w:rFonts w:eastAsia="Times New Roman" w:cstheme="minorHAnsi"/>
          <w:i/>
          <w:sz w:val="24"/>
          <w:szCs w:val="24"/>
        </w:rPr>
        <w:t>.</w:t>
      </w:r>
    </w:p>
    <w:p w14:paraId="17A07273" w14:textId="77777777" w:rsidR="00D85808" w:rsidRPr="00D85808" w:rsidRDefault="00D85808" w:rsidP="00D85808">
      <w:pPr>
        <w:spacing w:after="80" w:line="240" w:lineRule="auto"/>
        <w:ind w:left="720"/>
        <w:rPr>
          <w:rFonts w:eastAsia="Times New Roman" w:cstheme="minorHAnsi"/>
          <w:b/>
          <w:sz w:val="24"/>
          <w:szCs w:val="24"/>
        </w:rPr>
      </w:pPr>
    </w:p>
    <w:p w14:paraId="01535416" w14:textId="77777777" w:rsidR="00D85808" w:rsidRPr="00D85808" w:rsidRDefault="00D85808" w:rsidP="00D85808">
      <w:pPr>
        <w:spacing w:after="80" w:line="240" w:lineRule="auto"/>
        <w:ind w:left="720"/>
        <w:rPr>
          <w:rFonts w:eastAsia="Times New Roman" w:cstheme="minorHAnsi"/>
          <w:b/>
          <w:sz w:val="24"/>
          <w:szCs w:val="24"/>
        </w:rPr>
      </w:pPr>
      <w:r w:rsidRPr="00D85808">
        <w:rPr>
          <w:rFonts w:eastAsia="Times New Roman" w:cstheme="minorHAnsi"/>
          <w:b/>
          <w:sz w:val="24"/>
          <w:szCs w:val="24"/>
        </w:rPr>
        <w:t xml:space="preserve">PLEASE NOTE the following two differences from past BAR statutory authorities from the General Appropriation Act: </w:t>
      </w:r>
    </w:p>
    <w:p w14:paraId="74CD8D35" w14:textId="77777777" w:rsidR="00D85808" w:rsidRPr="00D85808" w:rsidRDefault="00D85808" w:rsidP="00D85808">
      <w:pPr>
        <w:spacing w:after="80" w:line="240" w:lineRule="auto"/>
        <w:ind w:left="720"/>
        <w:rPr>
          <w:rFonts w:eastAsia="Times New Roman" w:cstheme="minorHAnsi"/>
          <w:b/>
          <w:sz w:val="24"/>
          <w:szCs w:val="24"/>
        </w:rPr>
      </w:pPr>
    </w:p>
    <w:p w14:paraId="0CAF1375" w14:textId="1A3F3A28" w:rsidR="00D85808" w:rsidRPr="00D85808" w:rsidRDefault="00D85808" w:rsidP="00D85808">
      <w:pPr>
        <w:numPr>
          <w:ilvl w:val="0"/>
          <w:numId w:val="6"/>
        </w:numPr>
        <w:spacing w:after="80" w:line="240" w:lineRule="auto"/>
        <w:rPr>
          <w:rFonts w:eastAsia="Times New Roman" w:cstheme="minorHAnsi"/>
          <w:sz w:val="24"/>
          <w:szCs w:val="24"/>
        </w:rPr>
      </w:pPr>
      <w:r w:rsidRPr="00D85808">
        <w:rPr>
          <w:rFonts w:eastAsia="Times New Roman" w:cstheme="minorHAnsi"/>
          <w:sz w:val="24"/>
          <w:szCs w:val="24"/>
        </w:rPr>
        <w:t>Due to the inclusion of Sections 9 through 11, in the Laws of 202</w:t>
      </w:r>
      <w:r w:rsidR="00BB7FFB">
        <w:rPr>
          <w:rFonts w:eastAsia="Times New Roman" w:cstheme="minorHAnsi"/>
          <w:sz w:val="24"/>
          <w:szCs w:val="24"/>
        </w:rPr>
        <w:t>5</w:t>
      </w:r>
      <w:r w:rsidRPr="00D85808">
        <w:rPr>
          <w:rFonts w:eastAsia="Times New Roman" w:cstheme="minorHAnsi"/>
          <w:sz w:val="24"/>
          <w:szCs w:val="24"/>
        </w:rPr>
        <w:t xml:space="preserve">, </w:t>
      </w:r>
      <w:r w:rsidR="00BB7FFB">
        <w:rPr>
          <w:rFonts w:eastAsia="Times New Roman" w:cstheme="minorHAnsi"/>
          <w:sz w:val="24"/>
          <w:szCs w:val="24"/>
        </w:rPr>
        <w:t>1st</w:t>
      </w:r>
      <w:r w:rsidRPr="00D85808">
        <w:rPr>
          <w:rFonts w:eastAsia="Times New Roman" w:cstheme="minorHAnsi"/>
          <w:sz w:val="24"/>
          <w:szCs w:val="24"/>
        </w:rPr>
        <w:t xml:space="preserve"> Session, Chapter </w:t>
      </w:r>
      <w:r w:rsidR="00BB7FFB">
        <w:rPr>
          <w:rFonts w:eastAsia="Times New Roman" w:cstheme="minorHAnsi"/>
          <w:sz w:val="24"/>
          <w:szCs w:val="24"/>
        </w:rPr>
        <w:t>160</w:t>
      </w:r>
      <w:r w:rsidRPr="00D85808">
        <w:rPr>
          <w:rFonts w:eastAsia="Times New Roman" w:cstheme="minorHAnsi"/>
          <w:sz w:val="24"/>
          <w:szCs w:val="24"/>
        </w:rPr>
        <w:t>, the correct citation for the most common FY2</w:t>
      </w:r>
      <w:r w:rsidR="00BB7FFB">
        <w:rPr>
          <w:rFonts w:eastAsia="Times New Roman" w:cstheme="minorHAnsi"/>
          <w:sz w:val="24"/>
          <w:szCs w:val="24"/>
        </w:rPr>
        <w:t>6</w:t>
      </w:r>
      <w:r w:rsidRPr="00D85808">
        <w:rPr>
          <w:rFonts w:eastAsia="Times New Roman" w:cstheme="minorHAnsi"/>
          <w:sz w:val="24"/>
          <w:szCs w:val="24"/>
        </w:rPr>
        <w:t xml:space="preserve"> BAR statutory authority will be </w:t>
      </w:r>
      <w:r w:rsidRPr="00D85808">
        <w:rPr>
          <w:rFonts w:eastAsia="Times New Roman" w:cstheme="minorHAnsi"/>
          <w:b/>
          <w:bCs/>
          <w:sz w:val="24"/>
          <w:szCs w:val="24"/>
        </w:rPr>
        <w:t>Section 13</w:t>
      </w:r>
      <w:r w:rsidRPr="00D85808">
        <w:rPr>
          <w:rFonts w:eastAsia="Times New Roman" w:cstheme="minorHAnsi"/>
          <w:sz w:val="24"/>
          <w:szCs w:val="24"/>
        </w:rPr>
        <w:t>.</w:t>
      </w:r>
    </w:p>
    <w:p w14:paraId="338A2F6B" w14:textId="05E480EB" w:rsidR="00D85808" w:rsidRPr="00D85808" w:rsidRDefault="00D85808" w:rsidP="00D85808">
      <w:pPr>
        <w:numPr>
          <w:ilvl w:val="0"/>
          <w:numId w:val="6"/>
        </w:numPr>
        <w:spacing w:after="80" w:line="240" w:lineRule="auto"/>
        <w:rPr>
          <w:rFonts w:eastAsia="Times New Roman" w:cstheme="minorHAnsi"/>
          <w:sz w:val="24"/>
          <w:szCs w:val="24"/>
        </w:rPr>
      </w:pPr>
      <w:r w:rsidRPr="00D85808">
        <w:rPr>
          <w:rFonts w:eastAsia="Times New Roman" w:cstheme="minorHAnsi"/>
          <w:sz w:val="24"/>
          <w:szCs w:val="24"/>
        </w:rPr>
        <w:t>The 202</w:t>
      </w:r>
      <w:r w:rsidR="00BB7FFB">
        <w:rPr>
          <w:rFonts w:eastAsia="Times New Roman" w:cstheme="minorHAnsi"/>
          <w:sz w:val="24"/>
          <w:szCs w:val="24"/>
        </w:rPr>
        <w:t>5</w:t>
      </w:r>
      <w:r w:rsidRPr="00D85808">
        <w:rPr>
          <w:rFonts w:eastAsia="Times New Roman" w:cstheme="minorHAnsi"/>
          <w:sz w:val="24"/>
          <w:szCs w:val="24"/>
        </w:rPr>
        <w:t xml:space="preserve"> General Appropriation Act </w:t>
      </w:r>
      <w:r w:rsidRPr="00D85808">
        <w:rPr>
          <w:rFonts w:eastAsia="Times New Roman" w:cstheme="minorHAnsi"/>
          <w:b/>
          <w:bCs/>
          <w:sz w:val="24"/>
          <w:szCs w:val="24"/>
        </w:rPr>
        <w:t>does not</w:t>
      </w:r>
      <w:r w:rsidRPr="00D85808">
        <w:rPr>
          <w:rFonts w:eastAsia="Times New Roman" w:cstheme="minorHAnsi"/>
          <w:sz w:val="24"/>
          <w:szCs w:val="24"/>
        </w:rPr>
        <w:t xml:space="preserve"> include broad program transfer authority. Program transfer authority for FY2</w:t>
      </w:r>
      <w:r w:rsidR="00BB7FFB">
        <w:rPr>
          <w:rFonts w:eastAsia="Times New Roman" w:cstheme="minorHAnsi"/>
          <w:sz w:val="24"/>
          <w:szCs w:val="24"/>
        </w:rPr>
        <w:t>6</w:t>
      </w:r>
      <w:r w:rsidRPr="00D85808">
        <w:rPr>
          <w:rFonts w:eastAsia="Times New Roman" w:cstheme="minorHAnsi"/>
          <w:sz w:val="24"/>
          <w:szCs w:val="24"/>
        </w:rPr>
        <w:t xml:space="preserve"> is limited to specific programs in certain agencies as detailed in </w:t>
      </w:r>
      <w:r w:rsidRPr="00D85808">
        <w:rPr>
          <w:rFonts w:eastAsia="Times New Roman" w:cstheme="minorHAnsi"/>
          <w:b/>
          <w:sz w:val="24"/>
          <w:szCs w:val="24"/>
        </w:rPr>
        <w:t>Laws of 202</w:t>
      </w:r>
      <w:r w:rsidR="00BB7FFB">
        <w:rPr>
          <w:rFonts w:eastAsia="Times New Roman" w:cstheme="minorHAnsi"/>
          <w:b/>
          <w:sz w:val="24"/>
          <w:szCs w:val="24"/>
        </w:rPr>
        <w:t>5</w:t>
      </w:r>
      <w:r w:rsidRPr="00D85808">
        <w:rPr>
          <w:rFonts w:eastAsia="Times New Roman" w:cstheme="minorHAnsi"/>
          <w:b/>
          <w:sz w:val="24"/>
          <w:szCs w:val="24"/>
        </w:rPr>
        <w:t xml:space="preserve">, </w:t>
      </w:r>
      <w:r w:rsidR="00BB7FFB">
        <w:rPr>
          <w:rFonts w:eastAsia="Times New Roman" w:cstheme="minorHAnsi"/>
          <w:b/>
          <w:sz w:val="24"/>
          <w:szCs w:val="24"/>
        </w:rPr>
        <w:t>1st</w:t>
      </w:r>
      <w:r w:rsidRPr="00D85808">
        <w:rPr>
          <w:rFonts w:eastAsia="Times New Roman" w:cstheme="minorHAnsi"/>
          <w:b/>
          <w:sz w:val="24"/>
          <w:szCs w:val="24"/>
        </w:rPr>
        <w:t xml:space="preserve"> Session, Chapter </w:t>
      </w:r>
      <w:r w:rsidR="00BB7FFB">
        <w:rPr>
          <w:rFonts w:eastAsia="Times New Roman" w:cstheme="minorHAnsi"/>
          <w:b/>
          <w:sz w:val="24"/>
          <w:szCs w:val="24"/>
        </w:rPr>
        <w:t>160</w:t>
      </w:r>
      <w:r w:rsidRPr="00D85808">
        <w:rPr>
          <w:rFonts w:eastAsia="Times New Roman" w:cstheme="minorHAnsi"/>
          <w:b/>
          <w:sz w:val="24"/>
          <w:szCs w:val="24"/>
        </w:rPr>
        <w:t xml:space="preserve">, Section 13 (E). </w:t>
      </w:r>
    </w:p>
    <w:p w14:paraId="5749F363" w14:textId="77777777" w:rsidR="00D85808" w:rsidRPr="00D85808" w:rsidRDefault="00D85808" w:rsidP="00D85808">
      <w:pPr>
        <w:spacing w:after="80" w:line="240" w:lineRule="auto"/>
        <w:ind w:left="720"/>
        <w:rPr>
          <w:rFonts w:eastAsia="Times New Roman" w:cstheme="minorHAnsi"/>
          <w:sz w:val="24"/>
          <w:szCs w:val="24"/>
        </w:rPr>
      </w:pPr>
    </w:p>
    <w:p w14:paraId="4B0AFCCC" w14:textId="6DC93B04" w:rsidR="00D85808" w:rsidRPr="00D85808" w:rsidRDefault="00D85808" w:rsidP="00D85808">
      <w:pPr>
        <w:numPr>
          <w:ilvl w:val="0"/>
          <w:numId w:val="5"/>
        </w:numPr>
        <w:spacing w:after="80" w:line="240" w:lineRule="auto"/>
        <w:rPr>
          <w:rFonts w:eastAsia="Times New Roman" w:cstheme="minorHAnsi"/>
          <w:sz w:val="24"/>
          <w:szCs w:val="24"/>
        </w:rPr>
      </w:pPr>
      <w:bookmarkStart w:id="2" w:name="_Hlk202337656"/>
      <w:r w:rsidRPr="00D85808">
        <w:rPr>
          <w:rFonts w:eastAsia="Times New Roman" w:cstheme="minorHAnsi"/>
          <w:b/>
          <w:sz w:val="24"/>
          <w:szCs w:val="24"/>
        </w:rPr>
        <w:t>Laws of 202</w:t>
      </w:r>
      <w:r w:rsidR="00C45B7A">
        <w:rPr>
          <w:rFonts w:eastAsia="Times New Roman" w:cstheme="minorHAnsi"/>
          <w:b/>
          <w:sz w:val="24"/>
          <w:szCs w:val="24"/>
        </w:rPr>
        <w:t>5</w:t>
      </w:r>
      <w:r w:rsidRPr="00D85808">
        <w:rPr>
          <w:rFonts w:eastAsia="Times New Roman" w:cstheme="minorHAnsi"/>
          <w:b/>
          <w:sz w:val="24"/>
          <w:szCs w:val="24"/>
        </w:rPr>
        <w:t xml:space="preserve">, </w:t>
      </w:r>
      <w:r w:rsidR="00C45B7A">
        <w:rPr>
          <w:rFonts w:eastAsia="Times New Roman" w:cstheme="minorHAnsi"/>
          <w:b/>
          <w:sz w:val="24"/>
          <w:szCs w:val="24"/>
        </w:rPr>
        <w:t>1</w:t>
      </w:r>
      <w:r w:rsidR="00C45B7A" w:rsidRPr="00C45B7A">
        <w:rPr>
          <w:rFonts w:eastAsia="Times New Roman" w:cstheme="minorHAnsi"/>
          <w:b/>
          <w:sz w:val="24"/>
          <w:szCs w:val="24"/>
          <w:vertAlign w:val="superscript"/>
        </w:rPr>
        <w:t>st</w:t>
      </w:r>
      <w:r w:rsidR="00C45B7A">
        <w:rPr>
          <w:rFonts w:eastAsia="Times New Roman" w:cstheme="minorHAnsi"/>
          <w:b/>
          <w:sz w:val="24"/>
          <w:szCs w:val="24"/>
        </w:rPr>
        <w:t xml:space="preserve"> </w:t>
      </w:r>
      <w:r w:rsidRPr="00D85808">
        <w:rPr>
          <w:rFonts w:eastAsia="Times New Roman" w:cstheme="minorHAnsi"/>
          <w:b/>
          <w:sz w:val="24"/>
          <w:szCs w:val="24"/>
        </w:rPr>
        <w:t>Session, Chapter</w:t>
      </w:r>
      <w:r w:rsidR="00C45B7A">
        <w:rPr>
          <w:rFonts w:eastAsia="Times New Roman" w:cstheme="minorHAnsi"/>
          <w:b/>
          <w:sz w:val="24"/>
          <w:szCs w:val="24"/>
        </w:rPr>
        <w:t xml:space="preserve"> 160</w:t>
      </w:r>
      <w:r w:rsidRPr="00D85808">
        <w:rPr>
          <w:rFonts w:eastAsia="Times New Roman" w:cstheme="minorHAnsi"/>
          <w:b/>
          <w:sz w:val="24"/>
          <w:szCs w:val="24"/>
        </w:rPr>
        <w:t>, Section 13 (C)</w:t>
      </w:r>
      <w:bookmarkEnd w:id="2"/>
      <w:r w:rsidRPr="00D85808">
        <w:rPr>
          <w:rFonts w:eastAsia="Times New Roman" w:cstheme="minorHAnsi"/>
          <w:b/>
          <w:sz w:val="24"/>
          <w:szCs w:val="24"/>
        </w:rPr>
        <w:t xml:space="preserve"> </w:t>
      </w:r>
      <w:r w:rsidRPr="00D85808">
        <w:rPr>
          <w:rFonts w:eastAsia="Times New Roman" w:cstheme="minorHAnsi"/>
          <w:sz w:val="24"/>
          <w:szCs w:val="24"/>
        </w:rPr>
        <w:t>allows for FY2</w:t>
      </w:r>
      <w:r w:rsidR="00BB7FFB">
        <w:rPr>
          <w:rFonts w:eastAsia="Times New Roman" w:cstheme="minorHAnsi"/>
          <w:sz w:val="24"/>
          <w:szCs w:val="24"/>
        </w:rPr>
        <w:t>6</w:t>
      </w:r>
      <w:r w:rsidRPr="00D85808">
        <w:rPr>
          <w:rFonts w:eastAsia="Times New Roman" w:cstheme="minorHAnsi"/>
          <w:sz w:val="24"/>
          <w:szCs w:val="24"/>
        </w:rPr>
        <w:t xml:space="preserve"> transfers between categories (</w:t>
      </w:r>
      <w:r w:rsidRPr="00D85808">
        <w:rPr>
          <w:rFonts w:eastAsia="Times New Roman" w:cstheme="minorHAnsi"/>
          <w:i/>
          <w:sz w:val="24"/>
          <w:szCs w:val="24"/>
        </w:rPr>
        <w:t>personal services and employee benefits,</w:t>
      </w:r>
      <w:r w:rsidRPr="00D85808">
        <w:rPr>
          <w:rFonts w:eastAsia="Times New Roman" w:cstheme="minorHAnsi"/>
          <w:sz w:val="24"/>
          <w:szCs w:val="24"/>
        </w:rPr>
        <w:t xml:space="preserve"> </w:t>
      </w:r>
      <w:r w:rsidRPr="00D85808">
        <w:rPr>
          <w:rFonts w:eastAsia="Times New Roman" w:cstheme="minorHAnsi"/>
          <w:i/>
          <w:sz w:val="24"/>
          <w:szCs w:val="24"/>
        </w:rPr>
        <w:t xml:space="preserve">contractual services and other costs only, </w:t>
      </w:r>
      <w:r w:rsidRPr="00D85808">
        <w:rPr>
          <w:rFonts w:eastAsia="Times New Roman" w:cstheme="minorHAnsi"/>
          <w:b/>
          <w:bCs/>
          <w:i/>
          <w:sz w:val="24"/>
          <w:szCs w:val="24"/>
        </w:rPr>
        <w:t xml:space="preserve">not </w:t>
      </w:r>
      <w:r w:rsidRPr="00D85808">
        <w:rPr>
          <w:rFonts w:eastAsia="Times New Roman" w:cstheme="minorHAnsi"/>
          <w:i/>
          <w:sz w:val="24"/>
          <w:szCs w:val="24"/>
        </w:rPr>
        <w:t>other financing uses)</w:t>
      </w:r>
      <w:r w:rsidRPr="00D85808">
        <w:rPr>
          <w:rFonts w:eastAsia="Times New Roman" w:cstheme="minorHAnsi"/>
          <w:sz w:val="24"/>
          <w:szCs w:val="24"/>
        </w:rPr>
        <w:t>:</w:t>
      </w:r>
    </w:p>
    <w:p w14:paraId="7F910428" w14:textId="77777777" w:rsidR="00D85808" w:rsidRPr="00D85808" w:rsidRDefault="00D85808" w:rsidP="00D85808">
      <w:pPr>
        <w:spacing w:after="80" w:line="240" w:lineRule="auto"/>
        <w:ind w:left="720"/>
        <w:rPr>
          <w:rFonts w:eastAsia="Times New Roman" w:cstheme="minorHAnsi"/>
          <w:sz w:val="24"/>
          <w:szCs w:val="24"/>
        </w:rPr>
      </w:pPr>
    </w:p>
    <w:p w14:paraId="795981DE" w14:textId="77777777" w:rsidR="00D85808" w:rsidRPr="00D85808" w:rsidRDefault="00D85808" w:rsidP="00D85808">
      <w:pPr>
        <w:spacing w:after="80" w:line="240" w:lineRule="auto"/>
        <w:ind w:left="720"/>
        <w:rPr>
          <w:rFonts w:eastAsia="Times New Roman" w:cstheme="minorHAnsi"/>
          <w:i/>
          <w:sz w:val="24"/>
          <w:szCs w:val="24"/>
        </w:rPr>
      </w:pPr>
      <w:r w:rsidRPr="00D85808">
        <w:rPr>
          <w:rFonts w:eastAsia="Times New Roman" w:cstheme="minorHAnsi"/>
          <w:i/>
          <w:sz w:val="24"/>
          <w:szCs w:val="24"/>
        </w:rPr>
        <w:lastRenderedPageBreak/>
        <w:t>C. In addition to the specific category transfers authorized in Subsection E of this section and unless a conflicting category transfer is authorized in Subsection E of this section, all agencies, including legislative agencies, may request category transfers among personal services and employee benefits, contractual services and other.</w:t>
      </w:r>
    </w:p>
    <w:p w14:paraId="79D80DEB" w14:textId="77777777" w:rsidR="00D85808" w:rsidRPr="00D85808" w:rsidRDefault="00D85808" w:rsidP="00D85808">
      <w:pPr>
        <w:spacing w:after="80" w:line="240" w:lineRule="auto"/>
        <w:ind w:left="720"/>
        <w:rPr>
          <w:rFonts w:eastAsia="Times New Roman" w:cstheme="minorHAnsi"/>
          <w:sz w:val="24"/>
          <w:szCs w:val="24"/>
        </w:rPr>
      </w:pPr>
    </w:p>
    <w:p w14:paraId="709ADC57" w14:textId="0D34D606" w:rsidR="00D85808" w:rsidRPr="00D85808" w:rsidRDefault="00D85808" w:rsidP="00D85808">
      <w:pPr>
        <w:numPr>
          <w:ilvl w:val="0"/>
          <w:numId w:val="5"/>
        </w:numPr>
        <w:spacing w:after="80" w:line="240" w:lineRule="auto"/>
        <w:rPr>
          <w:rFonts w:eastAsia="Times New Roman" w:cstheme="minorHAnsi"/>
          <w:sz w:val="24"/>
          <w:szCs w:val="24"/>
        </w:rPr>
      </w:pPr>
      <w:bookmarkStart w:id="3" w:name="_Hlk202337677"/>
      <w:r w:rsidRPr="00D85808">
        <w:rPr>
          <w:rFonts w:eastAsia="Times New Roman" w:cstheme="minorHAnsi"/>
          <w:b/>
          <w:sz w:val="24"/>
          <w:szCs w:val="24"/>
        </w:rPr>
        <w:t>Laws of 202</w:t>
      </w:r>
      <w:r w:rsidR="00BB7FFB">
        <w:rPr>
          <w:rFonts w:eastAsia="Times New Roman" w:cstheme="minorHAnsi"/>
          <w:b/>
          <w:sz w:val="24"/>
          <w:szCs w:val="24"/>
        </w:rPr>
        <w:t>5</w:t>
      </w:r>
      <w:r w:rsidRPr="00D85808">
        <w:rPr>
          <w:rFonts w:eastAsia="Times New Roman" w:cstheme="minorHAnsi"/>
          <w:b/>
          <w:sz w:val="24"/>
          <w:szCs w:val="24"/>
        </w:rPr>
        <w:t>, 1</w:t>
      </w:r>
      <w:r w:rsidRPr="00D85808">
        <w:rPr>
          <w:rFonts w:eastAsia="Times New Roman" w:cstheme="minorHAnsi"/>
          <w:b/>
          <w:sz w:val="24"/>
          <w:szCs w:val="24"/>
          <w:vertAlign w:val="superscript"/>
        </w:rPr>
        <w:t xml:space="preserve">st </w:t>
      </w:r>
      <w:r w:rsidRPr="00D85808">
        <w:rPr>
          <w:rFonts w:eastAsia="Times New Roman" w:cstheme="minorHAnsi"/>
          <w:b/>
          <w:sz w:val="24"/>
          <w:szCs w:val="24"/>
        </w:rPr>
        <w:t>Session, Chapter</w:t>
      </w:r>
      <w:r w:rsidR="00C45B7A">
        <w:rPr>
          <w:rFonts w:eastAsia="Times New Roman" w:cstheme="minorHAnsi"/>
          <w:b/>
          <w:sz w:val="24"/>
          <w:szCs w:val="24"/>
        </w:rPr>
        <w:t xml:space="preserve"> 160</w:t>
      </w:r>
      <w:r w:rsidRPr="00D85808">
        <w:rPr>
          <w:rFonts w:eastAsia="Times New Roman" w:cstheme="minorHAnsi"/>
          <w:b/>
          <w:sz w:val="24"/>
          <w:szCs w:val="24"/>
        </w:rPr>
        <w:t>, Section 13 (D)</w:t>
      </w:r>
      <w:bookmarkEnd w:id="3"/>
      <w:r w:rsidRPr="00D85808">
        <w:rPr>
          <w:rFonts w:eastAsia="Times New Roman" w:cstheme="minorHAnsi"/>
          <w:b/>
          <w:sz w:val="24"/>
          <w:szCs w:val="24"/>
        </w:rPr>
        <w:t xml:space="preserve"> </w:t>
      </w:r>
      <w:proofErr w:type="gramStart"/>
      <w:r w:rsidRPr="00D85808">
        <w:rPr>
          <w:rFonts w:eastAsia="Times New Roman" w:cstheme="minorHAnsi"/>
          <w:sz w:val="24"/>
          <w:szCs w:val="24"/>
        </w:rPr>
        <w:t>allows for</w:t>
      </w:r>
      <w:proofErr w:type="gramEnd"/>
      <w:r w:rsidRPr="00D85808">
        <w:rPr>
          <w:rFonts w:eastAsia="Times New Roman" w:cstheme="minorHAnsi"/>
          <w:sz w:val="24"/>
          <w:szCs w:val="24"/>
        </w:rPr>
        <w:t xml:space="preserve"> FY2</w:t>
      </w:r>
      <w:r w:rsidR="00BB7FFB">
        <w:rPr>
          <w:rFonts w:eastAsia="Times New Roman" w:cstheme="minorHAnsi"/>
          <w:sz w:val="24"/>
          <w:szCs w:val="24"/>
        </w:rPr>
        <w:t>6</w:t>
      </w:r>
      <w:r w:rsidRPr="00D85808">
        <w:rPr>
          <w:rFonts w:eastAsia="Times New Roman" w:cstheme="minorHAnsi"/>
          <w:sz w:val="24"/>
          <w:szCs w:val="24"/>
        </w:rPr>
        <w:t xml:space="preserve"> budget increases subject to the five percent rule:</w:t>
      </w:r>
    </w:p>
    <w:p w14:paraId="0003EC12" w14:textId="77777777" w:rsidR="00D85808" w:rsidRPr="00D85808" w:rsidRDefault="00D85808" w:rsidP="00D85808">
      <w:pPr>
        <w:spacing w:after="80" w:line="240" w:lineRule="auto"/>
        <w:ind w:left="720"/>
        <w:rPr>
          <w:rFonts w:eastAsia="Times New Roman" w:cstheme="minorHAnsi"/>
          <w:sz w:val="24"/>
          <w:szCs w:val="24"/>
        </w:rPr>
      </w:pPr>
    </w:p>
    <w:p w14:paraId="318428C2" w14:textId="77777777" w:rsidR="00D85808" w:rsidRPr="00D85808" w:rsidRDefault="00D85808" w:rsidP="00D85808">
      <w:pPr>
        <w:spacing w:after="80" w:line="240" w:lineRule="auto"/>
        <w:ind w:left="720"/>
        <w:rPr>
          <w:rFonts w:eastAsia="Times New Roman" w:cstheme="minorHAnsi"/>
          <w:i/>
          <w:sz w:val="24"/>
          <w:szCs w:val="24"/>
        </w:rPr>
      </w:pPr>
      <w:r w:rsidRPr="00D85808">
        <w:rPr>
          <w:rFonts w:eastAsia="Times New Roman" w:cstheme="minorHAnsi"/>
          <w:i/>
          <w:sz w:val="24"/>
          <w:szCs w:val="24"/>
        </w:rPr>
        <w:t xml:space="preserve">D.  Unless a conflicting budget increase is authorized in Subsection E of this section, a program with internal service funds/interagency transfers appropriations or other state funds appropriations that collects money in excess of those appropriated may request budget increases in an amount not to exceed five percent of its internal service funds/interagency transfers or other state funds appropriation contained in Section 4 of the General Appropriation Act of 2024. To track the five percent transfer limitation, agencies shall report cumulative budget adjustment request totals on each budget request submitted. The department of finance and administration shall certify agency reporting of these cumulative totals. </w:t>
      </w:r>
      <w:r w:rsidRPr="00D85808">
        <w:rPr>
          <w:rFonts w:eastAsia="Times New Roman" w:cstheme="minorHAnsi"/>
          <w:i/>
          <w:sz w:val="24"/>
          <w:szCs w:val="24"/>
        </w:rPr>
        <w:tab/>
      </w:r>
    </w:p>
    <w:p w14:paraId="361C797D" w14:textId="77777777" w:rsidR="00D85808" w:rsidRPr="00D85808" w:rsidRDefault="00D85808" w:rsidP="00D85808">
      <w:pPr>
        <w:spacing w:after="80" w:line="240" w:lineRule="auto"/>
        <w:ind w:left="720"/>
        <w:rPr>
          <w:rFonts w:eastAsia="Times New Roman" w:cstheme="minorHAnsi"/>
          <w:sz w:val="24"/>
          <w:szCs w:val="24"/>
        </w:rPr>
      </w:pPr>
    </w:p>
    <w:p w14:paraId="7D6D7DFF" w14:textId="004082F2" w:rsidR="00D85808" w:rsidRPr="00D85808" w:rsidRDefault="00D85808" w:rsidP="00D85808">
      <w:pPr>
        <w:numPr>
          <w:ilvl w:val="0"/>
          <w:numId w:val="5"/>
        </w:numPr>
        <w:spacing w:after="80" w:line="240" w:lineRule="auto"/>
        <w:rPr>
          <w:rFonts w:eastAsia="Times New Roman" w:cstheme="minorHAnsi"/>
          <w:sz w:val="24"/>
          <w:szCs w:val="24"/>
        </w:rPr>
      </w:pPr>
      <w:bookmarkStart w:id="4" w:name="_Hlk202337705"/>
      <w:r w:rsidRPr="00D85808">
        <w:rPr>
          <w:rFonts w:eastAsia="Times New Roman" w:cstheme="minorHAnsi"/>
          <w:b/>
          <w:sz w:val="24"/>
          <w:szCs w:val="24"/>
        </w:rPr>
        <w:t>Laws of 202</w:t>
      </w:r>
      <w:r w:rsidR="00C45B7A">
        <w:rPr>
          <w:rFonts w:eastAsia="Times New Roman" w:cstheme="minorHAnsi"/>
          <w:b/>
          <w:sz w:val="24"/>
          <w:szCs w:val="24"/>
        </w:rPr>
        <w:t>5</w:t>
      </w:r>
      <w:r w:rsidRPr="00D85808">
        <w:rPr>
          <w:rFonts w:eastAsia="Times New Roman" w:cstheme="minorHAnsi"/>
          <w:b/>
          <w:sz w:val="24"/>
          <w:szCs w:val="24"/>
        </w:rPr>
        <w:t xml:space="preserve">, </w:t>
      </w:r>
      <w:r w:rsidR="00C45B7A">
        <w:rPr>
          <w:rFonts w:eastAsia="Times New Roman" w:cstheme="minorHAnsi"/>
          <w:b/>
          <w:sz w:val="24"/>
          <w:szCs w:val="24"/>
        </w:rPr>
        <w:t>1st</w:t>
      </w:r>
      <w:r w:rsidRPr="00D85808">
        <w:rPr>
          <w:rFonts w:eastAsia="Times New Roman" w:cstheme="minorHAnsi"/>
          <w:b/>
          <w:sz w:val="24"/>
          <w:szCs w:val="24"/>
          <w:vertAlign w:val="superscript"/>
        </w:rPr>
        <w:t xml:space="preserve"> </w:t>
      </w:r>
      <w:r w:rsidRPr="00D85808">
        <w:rPr>
          <w:rFonts w:eastAsia="Times New Roman" w:cstheme="minorHAnsi"/>
          <w:b/>
          <w:sz w:val="24"/>
          <w:szCs w:val="24"/>
        </w:rPr>
        <w:t xml:space="preserve">Session, Chapter </w:t>
      </w:r>
      <w:r w:rsidR="00C45B7A">
        <w:rPr>
          <w:rFonts w:eastAsia="Times New Roman" w:cstheme="minorHAnsi"/>
          <w:b/>
          <w:sz w:val="24"/>
          <w:szCs w:val="24"/>
        </w:rPr>
        <w:t>160</w:t>
      </w:r>
      <w:r w:rsidRPr="00D85808">
        <w:rPr>
          <w:rFonts w:eastAsia="Times New Roman" w:cstheme="minorHAnsi"/>
          <w:b/>
          <w:sz w:val="24"/>
          <w:szCs w:val="24"/>
        </w:rPr>
        <w:t xml:space="preserve">, Section 13 (E) </w:t>
      </w:r>
      <w:bookmarkEnd w:id="4"/>
      <w:r w:rsidRPr="00D85808">
        <w:rPr>
          <w:rFonts w:eastAsia="Times New Roman" w:cstheme="minorHAnsi"/>
          <w:sz w:val="24"/>
          <w:szCs w:val="24"/>
        </w:rPr>
        <w:t>allows for FY2</w:t>
      </w:r>
      <w:r w:rsidR="00BB7FFB">
        <w:rPr>
          <w:rFonts w:eastAsia="Times New Roman" w:cstheme="minorHAnsi"/>
          <w:sz w:val="24"/>
          <w:szCs w:val="24"/>
        </w:rPr>
        <w:t>6</w:t>
      </w:r>
      <w:r w:rsidRPr="00D85808">
        <w:rPr>
          <w:rFonts w:eastAsia="Times New Roman" w:cstheme="minorHAnsi"/>
          <w:sz w:val="24"/>
          <w:szCs w:val="24"/>
        </w:rPr>
        <w:t xml:space="preserve"> agency-specific budget adjustments according to the language denoted.</w:t>
      </w:r>
    </w:p>
    <w:p w14:paraId="27AD4811" w14:textId="432D9B80" w:rsidR="00D85808" w:rsidRPr="00D85808" w:rsidRDefault="00D85808" w:rsidP="00D85808">
      <w:pPr>
        <w:spacing w:after="80" w:line="240" w:lineRule="auto"/>
        <w:rPr>
          <w:rFonts w:eastAsia="Times New Roman" w:cstheme="minorHAnsi"/>
          <w:b/>
          <w:sz w:val="24"/>
          <w:szCs w:val="24"/>
        </w:rPr>
      </w:pPr>
    </w:p>
    <w:p w14:paraId="040517E4" w14:textId="378E92BC" w:rsidR="00D85808" w:rsidRPr="00D85808" w:rsidRDefault="00D85808" w:rsidP="00D85808">
      <w:pPr>
        <w:spacing w:after="80" w:line="240" w:lineRule="auto"/>
        <w:rPr>
          <w:rFonts w:eastAsia="Times New Roman" w:cstheme="minorHAnsi"/>
          <w:b/>
          <w:color w:val="0E504F"/>
          <w:sz w:val="28"/>
          <w:szCs w:val="28"/>
          <w:u w:val="single"/>
        </w:rPr>
      </w:pPr>
      <w:bookmarkStart w:id="5" w:name="_Hlk138691714"/>
      <w:r w:rsidRPr="00D85808">
        <w:rPr>
          <w:rFonts w:eastAsia="Times New Roman" w:cstheme="minorHAnsi"/>
          <w:b/>
          <w:color w:val="0E504F"/>
          <w:sz w:val="28"/>
          <w:szCs w:val="28"/>
          <w:u w:val="single"/>
        </w:rPr>
        <w:t>Federal Funds</w:t>
      </w:r>
      <w:r>
        <w:rPr>
          <w:rFonts w:eastAsia="Times New Roman" w:cstheme="minorHAnsi"/>
          <w:b/>
          <w:color w:val="0E504F"/>
          <w:sz w:val="28"/>
          <w:szCs w:val="28"/>
          <w:u w:val="single"/>
        </w:rPr>
        <w:t>:</w:t>
      </w:r>
    </w:p>
    <w:p w14:paraId="0271FDFF" w14:textId="77777777" w:rsidR="00D85808" w:rsidRPr="00D85808" w:rsidRDefault="00D85808" w:rsidP="00D85808">
      <w:pPr>
        <w:spacing w:after="80" w:line="240" w:lineRule="auto"/>
        <w:ind w:left="720"/>
        <w:rPr>
          <w:rFonts w:eastAsia="Times New Roman" w:cstheme="minorHAnsi"/>
          <w:sz w:val="24"/>
          <w:szCs w:val="24"/>
        </w:rPr>
      </w:pPr>
      <w:r w:rsidRPr="00D85808">
        <w:rPr>
          <w:rFonts w:eastAsia="Times New Roman" w:cstheme="minorHAnsi"/>
          <w:sz w:val="24"/>
          <w:szCs w:val="24"/>
        </w:rPr>
        <w:t>Use the following citation for all federal funds including flow-through from other agencies but not including TANF funds:</w:t>
      </w:r>
    </w:p>
    <w:p w14:paraId="605E5F2D" w14:textId="77777777" w:rsidR="00D85808" w:rsidRPr="00D85808" w:rsidRDefault="00D85808" w:rsidP="00D85808">
      <w:pPr>
        <w:spacing w:after="80" w:line="240" w:lineRule="auto"/>
        <w:ind w:left="720"/>
        <w:rPr>
          <w:rFonts w:eastAsia="Times New Roman" w:cstheme="minorHAnsi"/>
          <w:b/>
          <w:sz w:val="24"/>
          <w:szCs w:val="24"/>
        </w:rPr>
      </w:pPr>
      <w:r w:rsidRPr="00D85808">
        <w:rPr>
          <w:rFonts w:eastAsia="Times New Roman" w:cstheme="minorHAnsi"/>
          <w:b/>
          <w:sz w:val="24"/>
          <w:szCs w:val="24"/>
        </w:rPr>
        <w:t>Section 6-3-23 (D) NMSA 1978</w:t>
      </w:r>
    </w:p>
    <w:p w14:paraId="1214A591" w14:textId="77777777" w:rsidR="00D85808" w:rsidRPr="00D85808" w:rsidRDefault="00D85808" w:rsidP="00D85808">
      <w:pPr>
        <w:spacing w:after="80" w:line="240" w:lineRule="auto"/>
        <w:ind w:left="720"/>
        <w:rPr>
          <w:rFonts w:eastAsia="Times New Roman" w:cstheme="minorHAnsi"/>
          <w:sz w:val="24"/>
          <w:szCs w:val="24"/>
        </w:rPr>
      </w:pPr>
      <w:r w:rsidRPr="00D85808">
        <w:rPr>
          <w:rFonts w:eastAsia="Times New Roman" w:cstheme="minorHAnsi"/>
          <w:sz w:val="24"/>
          <w:szCs w:val="24"/>
        </w:rPr>
        <w:t xml:space="preserve">In addition to the citation above, </w:t>
      </w:r>
      <w:r w:rsidRPr="00D85808">
        <w:rPr>
          <w:rFonts w:eastAsia="Times New Roman" w:cstheme="minorHAnsi"/>
          <w:b/>
          <w:sz w:val="24"/>
          <w:szCs w:val="24"/>
          <w:u w:val="single"/>
        </w:rPr>
        <w:t>cabinet agencies</w:t>
      </w:r>
      <w:r w:rsidRPr="00D85808">
        <w:rPr>
          <w:rFonts w:eastAsia="Times New Roman" w:cstheme="minorHAnsi"/>
          <w:sz w:val="24"/>
          <w:szCs w:val="24"/>
        </w:rPr>
        <w:t xml:space="preserve"> must also cite: </w:t>
      </w:r>
      <w:r w:rsidRPr="00D85808">
        <w:rPr>
          <w:rFonts w:eastAsia="Times New Roman" w:cstheme="minorHAnsi"/>
          <w:b/>
          <w:sz w:val="24"/>
          <w:szCs w:val="24"/>
        </w:rPr>
        <w:t>Section 9-1-5 (C) NMSA 1978.</w:t>
      </w:r>
    </w:p>
    <w:bookmarkEnd w:id="5"/>
    <w:p w14:paraId="78A2EA19" w14:textId="74779352" w:rsidR="00AE3721" w:rsidRPr="00AE3721" w:rsidRDefault="00AE3721" w:rsidP="00D85808">
      <w:pPr>
        <w:spacing w:after="80" w:line="240" w:lineRule="auto"/>
        <w:ind w:left="720"/>
        <w:rPr>
          <w:rFonts w:eastAsia="Times New Roman" w:cstheme="minorHAnsi"/>
          <w:sz w:val="24"/>
          <w:szCs w:val="24"/>
        </w:rPr>
      </w:pPr>
    </w:p>
    <w:sectPr w:rsidR="00AE3721" w:rsidRPr="00AE3721" w:rsidSect="00D85808">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61713" w14:textId="77777777" w:rsidR="002E39A3" w:rsidRDefault="002E39A3" w:rsidP="002E39A3">
      <w:pPr>
        <w:spacing w:after="0" w:line="240" w:lineRule="auto"/>
      </w:pPr>
      <w:r>
        <w:separator/>
      </w:r>
    </w:p>
  </w:endnote>
  <w:endnote w:type="continuationSeparator" w:id="0">
    <w:p w14:paraId="032AA430" w14:textId="77777777" w:rsidR="002E39A3" w:rsidRDefault="002E39A3" w:rsidP="002E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7009" w14:textId="7F80A720" w:rsidR="00AE3721" w:rsidRDefault="00AE3721" w:rsidP="00985CB0">
    <w:pPr>
      <w:pStyle w:val="Footer"/>
      <w:jc w:val="center"/>
    </w:pPr>
    <w:r>
      <w:t xml:space="preserve">Page </w:t>
    </w:r>
    <w:sdt>
      <w:sdtPr>
        <w:id w:val="319351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AA5E72E" w14:textId="77777777" w:rsidR="002E39A3" w:rsidRPr="003135B3" w:rsidRDefault="002E39A3" w:rsidP="00313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C8BDC" w14:textId="77777777" w:rsidR="002E39A3" w:rsidRDefault="002E39A3" w:rsidP="002E39A3">
      <w:pPr>
        <w:spacing w:after="0" w:line="240" w:lineRule="auto"/>
      </w:pPr>
      <w:r>
        <w:separator/>
      </w:r>
    </w:p>
  </w:footnote>
  <w:footnote w:type="continuationSeparator" w:id="0">
    <w:p w14:paraId="489D0FC0" w14:textId="77777777" w:rsidR="002E39A3" w:rsidRDefault="002E39A3" w:rsidP="002E3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9A45" w14:textId="2DA6E4F5" w:rsidR="003135B3" w:rsidRPr="00D85808" w:rsidRDefault="00D85808" w:rsidP="00D85808">
    <w:pPr>
      <w:pStyle w:val="Header"/>
      <w:rPr>
        <w:b/>
        <w:bCs/>
        <w:i/>
        <w:iCs/>
      </w:rPr>
    </w:pPr>
    <w:r w:rsidRPr="00D85808">
      <w:rPr>
        <w:b/>
        <w:bCs/>
        <w:i/>
        <w:iCs/>
      </w:rPr>
      <w:t xml:space="preserve">Most Common BAR Errors – Revised </w:t>
    </w:r>
    <w:r w:rsidR="00BB7FFB">
      <w:rPr>
        <w:b/>
        <w:bCs/>
        <w:i/>
        <w:iCs/>
      </w:rPr>
      <w:t>7/2</w:t>
    </w:r>
    <w:r w:rsidRPr="00D85808">
      <w:rPr>
        <w:b/>
        <w:bCs/>
        <w:i/>
        <w:iCs/>
      </w:rPr>
      <w:t>/202</w:t>
    </w:r>
    <w:r w:rsidR="00BB7FFB">
      <w:rPr>
        <w:b/>
        <w:bCs/>
        <w:i/>
        <w:iC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DD82" w14:textId="75827B39" w:rsidR="00AE3721" w:rsidRDefault="00AE3721" w:rsidP="00EA213A">
    <w:pPr>
      <w:jc w:val="center"/>
    </w:pPr>
    <w:r>
      <w:rPr>
        <w:rFonts w:ascii="Arial" w:hAnsi="Arial" w:cs="Arial"/>
        <w:b/>
        <w:bCs/>
        <w:noProof/>
        <w:color w:val="FF0000"/>
      </w:rPr>
      <w:drawing>
        <wp:anchor distT="0" distB="0" distL="114300" distR="114300" simplePos="0" relativeHeight="251658240" behindDoc="0" locked="0" layoutInCell="1" allowOverlap="1" wp14:anchorId="65F28341" wp14:editId="7D3C1344">
          <wp:simplePos x="0" y="0"/>
          <wp:positionH relativeFrom="column">
            <wp:posOffset>371475</wp:posOffset>
          </wp:positionH>
          <wp:positionV relativeFrom="paragraph">
            <wp:posOffset>9525</wp:posOffset>
          </wp:positionV>
          <wp:extent cx="2981325" cy="642465"/>
          <wp:effectExtent l="0" t="0" r="0" b="5715"/>
          <wp:wrapThrough wrapText="bothSides">
            <wp:wrapPolygon edited="0">
              <wp:start x="0" y="0"/>
              <wp:lineTo x="0" y="21151"/>
              <wp:lineTo x="21393" y="21151"/>
              <wp:lineTo x="21393" y="0"/>
              <wp:lineTo x="0" y="0"/>
            </wp:wrapPolygon>
          </wp:wrapThrough>
          <wp:docPr id="1228650933" name="Picture 12286509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81325" cy="642465"/>
                  </a:xfrm>
                  <a:prstGeom prst="rect">
                    <a:avLst/>
                  </a:prstGeom>
                  <a:noFill/>
                  <a:ln>
                    <a:noFill/>
                  </a:ln>
                </pic:spPr>
              </pic:pic>
            </a:graphicData>
          </a:graphic>
        </wp:anchor>
      </w:drawing>
    </w:r>
    <w:r w:rsidRPr="003135B3">
      <w:rPr>
        <w:b/>
        <w:bCs/>
        <w:color w:val="0E504F"/>
        <w:sz w:val="28"/>
        <w:szCs w:val="28"/>
      </w:rPr>
      <w:t xml:space="preserve">State Budget Division </w:t>
    </w:r>
    <w:r w:rsidR="00D85808">
      <w:rPr>
        <w:b/>
        <w:bCs/>
        <w:color w:val="0E504F"/>
        <w:sz w:val="28"/>
        <w:szCs w:val="28"/>
      </w:rPr>
      <w:br/>
    </w:r>
    <w:r>
      <w:rPr>
        <w:b/>
        <w:bCs/>
        <w:sz w:val="28"/>
        <w:szCs w:val="28"/>
      </w:rPr>
      <w:t xml:space="preserve">Most Common </w:t>
    </w:r>
    <w:r w:rsidR="00EA213A">
      <w:rPr>
        <w:b/>
        <w:bCs/>
        <w:sz w:val="28"/>
        <w:szCs w:val="28"/>
      </w:rPr>
      <w:t>FY2</w:t>
    </w:r>
    <w:r w:rsidR="00BB7FFB">
      <w:rPr>
        <w:b/>
        <w:bCs/>
        <w:sz w:val="28"/>
        <w:szCs w:val="28"/>
      </w:rPr>
      <w:t>6</w:t>
    </w:r>
    <w:r w:rsidR="00EA213A">
      <w:rPr>
        <w:b/>
        <w:bCs/>
        <w:sz w:val="28"/>
        <w:szCs w:val="28"/>
      </w:rPr>
      <w:t xml:space="preserve"> </w:t>
    </w:r>
    <w:r>
      <w:rPr>
        <w:b/>
        <w:bCs/>
        <w:sz w:val="28"/>
        <w:szCs w:val="28"/>
      </w:rPr>
      <w:t xml:space="preserve">BAR </w:t>
    </w:r>
    <w:r w:rsidR="00EA213A">
      <w:rPr>
        <w:b/>
        <w:bCs/>
        <w:sz w:val="28"/>
        <w:szCs w:val="28"/>
      </w:rPr>
      <w:t xml:space="preserve">Authority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47546"/>
    <w:multiLevelType w:val="hybridMultilevel"/>
    <w:tmpl w:val="D8829F36"/>
    <w:lvl w:ilvl="0" w:tplc="04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A735B44"/>
    <w:multiLevelType w:val="hybridMultilevel"/>
    <w:tmpl w:val="846EE0EE"/>
    <w:lvl w:ilvl="0" w:tplc="B28076A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452DE0"/>
    <w:multiLevelType w:val="hybridMultilevel"/>
    <w:tmpl w:val="4940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01420"/>
    <w:multiLevelType w:val="hybridMultilevel"/>
    <w:tmpl w:val="411E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73BBE"/>
    <w:multiLevelType w:val="hybridMultilevel"/>
    <w:tmpl w:val="75C44D0C"/>
    <w:lvl w:ilvl="0" w:tplc="547A2D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A309AF"/>
    <w:multiLevelType w:val="hybridMultilevel"/>
    <w:tmpl w:val="CC5EB0D0"/>
    <w:lvl w:ilvl="0" w:tplc="75D03FA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8860503">
    <w:abstractNumId w:val="3"/>
  </w:num>
  <w:num w:numId="2" w16cid:durableId="219828082">
    <w:abstractNumId w:val="2"/>
  </w:num>
  <w:num w:numId="3" w16cid:durableId="1677536428">
    <w:abstractNumId w:val="1"/>
  </w:num>
  <w:num w:numId="4" w16cid:durableId="1531911966">
    <w:abstractNumId w:val="0"/>
  </w:num>
  <w:num w:numId="5" w16cid:durableId="1339432390">
    <w:abstractNumId w:val="4"/>
  </w:num>
  <w:num w:numId="6" w16cid:durableId="494959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8AF"/>
    <w:rsid w:val="00017CA7"/>
    <w:rsid w:val="0002438B"/>
    <w:rsid w:val="000634F0"/>
    <w:rsid w:val="000A6D75"/>
    <w:rsid w:val="000D0302"/>
    <w:rsid w:val="000F22E5"/>
    <w:rsid w:val="00205804"/>
    <w:rsid w:val="00276FC7"/>
    <w:rsid w:val="002E39A3"/>
    <w:rsid w:val="003135B3"/>
    <w:rsid w:val="00364D66"/>
    <w:rsid w:val="004001B8"/>
    <w:rsid w:val="00475220"/>
    <w:rsid w:val="004E60B3"/>
    <w:rsid w:val="005628AF"/>
    <w:rsid w:val="00584404"/>
    <w:rsid w:val="005E3A48"/>
    <w:rsid w:val="006B1A01"/>
    <w:rsid w:val="007058A5"/>
    <w:rsid w:val="00777923"/>
    <w:rsid w:val="008A730F"/>
    <w:rsid w:val="008D065D"/>
    <w:rsid w:val="008D6C24"/>
    <w:rsid w:val="00900C27"/>
    <w:rsid w:val="00935D49"/>
    <w:rsid w:val="00961C19"/>
    <w:rsid w:val="00980DCA"/>
    <w:rsid w:val="00985CB0"/>
    <w:rsid w:val="00AE3721"/>
    <w:rsid w:val="00BB6987"/>
    <w:rsid w:val="00BB7FFB"/>
    <w:rsid w:val="00BD2A65"/>
    <w:rsid w:val="00C27CB9"/>
    <w:rsid w:val="00C45B7A"/>
    <w:rsid w:val="00CF0DF0"/>
    <w:rsid w:val="00D26506"/>
    <w:rsid w:val="00D37015"/>
    <w:rsid w:val="00D85808"/>
    <w:rsid w:val="00DB48E5"/>
    <w:rsid w:val="00DF730F"/>
    <w:rsid w:val="00E42565"/>
    <w:rsid w:val="00E90016"/>
    <w:rsid w:val="00EA213A"/>
    <w:rsid w:val="00EC3711"/>
    <w:rsid w:val="00ED0BB3"/>
    <w:rsid w:val="00FE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9F6F29"/>
  <w15:chartTrackingRefBased/>
  <w15:docId w15:val="{3853DC9C-2301-4ECC-9C5C-CB44E164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8AF"/>
    <w:pPr>
      <w:ind w:left="720"/>
      <w:contextualSpacing/>
    </w:pPr>
  </w:style>
  <w:style w:type="character" w:styleId="Hyperlink">
    <w:name w:val="Hyperlink"/>
    <w:basedOn w:val="DefaultParagraphFont"/>
    <w:uiPriority w:val="99"/>
    <w:unhideWhenUsed/>
    <w:rsid w:val="00980DCA"/>
    <w:rPr>
      <w:color w:val="0563C1" w:themeColor="hyperlink"/>
      <w:u w:val="single"/>
    </w:rPr>
  </w:style>
  <w:style w:type="paragraph" w:styleId="BalloonText">
    <w:name w:val="Balloon Text"/>
    <w:basedOn w:val="Normal"/>
    <w:link w:val="BalloonTextChar"/>
    <w:uiPriority w:val="99"/>
    <w:semiHidden/>
    <w:unhideWhenUsed/>
    <w:rsid w:val="00EC3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711"/>
    <w:rPr>
      <w:rFonts w:ascii="Segoe UI" w:hAnsi="Segoe UI" w:cs="Segoe UI"/>
      <w:sz w:val="18"/>
      <w:szCs w:val="18"/>
    </w:rPr>
  </w:style>
  <w:style w:type="character" w:styleId="FollowedHyperlink">
    <w:name w:val="FollowedHyperlink"/>
    <w:basedOn w:val="DefaultParagraphFont"/>
    <w:uiPriority w:val="99"/>
    <w:semiHidden/>
    <w:unhideWhenUsed/>
    <w:rsid w:val="000F22E5"/>
    <w:rPr>
      <w:color w:val="954F72" w:themeColor="followedHyperlink"/>
      <w:u w:val="single"/>
    </w:rPr>
  </w:style>
  <w:style w:type="character" w:styleId="UnresolvedMention">
    <w:name w:val="Unresolved Mention"/>
    <w:basedOn w:val="DefaultParagraphFont"/>
    <w:uiPriority w:val="99"/>
    <w:semiHidden/>
    <w:unhideWhenUsed/>
    <w:rsid w:val="00364D66"/>
    <w:rPr>
      <w:color w:val="605E5C"/>
      <w:shd w:val="clear" w:color="auto" w:fill="E1DFDD"/>
    </w:rPr>
  </w:style>
  <w:style w:type="table" w:styleId="TableGrid">
    <w:name w:val="Table Grid"/>
    <w:basedOn w:val="TableNormal"/>
    <w:uiPriority w:val="39"/>
    <w:rsid w:val="0070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9A3"/>
  </w:style>
  <w:style w:type="paragraph" w:styleId="Footer">
    <w:name w:val="footer"/>
    <w:basedOn w:val="Normal"/>
    <w:link w:val="FooterChar"/>
    <w:uiPriority w:val="99"/>
    <w:unhideWhenUsed/>
    <w:rsid w:val="002E3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8D265.3511AB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7E67-850B-42A0-AAF5-26C8B957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Cinthia Martinez</dc:creator>
  <cp:keywords/>
  <dc:description/>
  <cp:lastModifiedBy>Miner, Andrew, DFA</cp:lastModifiedBy>
  <cp:revision>3</cp:revision>
  <cp:lastPrinted>2023-07-05T14:28:00Z</cp:lastPrinted>
  <dcterms:created xsi:type="dcterms:W3CDTF">2024-07-02T21:20:00Z</dcterms:created>
  <dcterms:modified xsi:type="dcterms:W3CDTF">2025-07-02T15:21:00Z</dcterms:modified>
</cp:coreProperties>
</file>