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2994" w14:textId="2B63799A" w:rsidR="00914681" w:rsidRPr="00D173D4" w:rsidRDefault="00D173D4" w:rsidP="00D173D4">
      <w:pPr>
        <w:jc w:val="center"/>
        <w:rPr>
          <w:rFonts w:ascii="Aptos SemiBold" w:hAnsi="Aptos SemiBold"/>
          <w:color w:val="2C7C6D"/>
          <w:sz w:val="36"/>
          <w:szCs w:val="36"/>
        </w:rPr>
      </w:pPr>
      <w:r w:rsidRPr="00D173D4">
        <w:rPr>
          <w:rFonts w:ascii="Aptos SemiBold" w:hAnsi="Aptos SemiBold"/>
          <w:color w:val="2C7C6D"/>
          <w:sz w:val="36"/>
          <w:szCs w:val="36"/>
        </w:rPr>
        <w:t>DFA Local Government Division</w:t>
      </w:r>
    </w:p>
    <w:p w14:paraId="11E6CC73" w14:textId="3F9468CC" w:rsidR="00D173D4" w:rsidRPr="00D173D4" w:rsidRDefault="00D173D4" w:rsidP="00D173D4">
      <w:pPr>
        <w:jc w:val="center"/>
        <w:rPr>
          <w:rFonts w:ascii="Aptos SemiBold" w:hAnsi="Aptos SemiBold"/>
          <w:color w:val="2C7C6D"/>
          <w:sz w:val="36"/>
          <w:szCs w:val="36"/>
        </w:rPr>
      </w:pPr>
      <w:r w:rsidRPr="00D173D4">
        <w:rPr>
          <w:rFonts w:ascii="Aptos SemiBold" w:hAnsi="Aptos SemiBold"/>
          <w:color w:val="2C7C6D"/>
          <w:sz w:val="36"/>
          <w:szCs w:val="36"/>
        </w:rPr>
        <w:t>Budget &amp; Finance Bureau</w:t>
      </w:r>
    </w:p>
    <w:p w14:paraId="02712892" w14:textId="2A63A5EB" w:rsidR="00D173D4" w:rsidRDefault="00D173D4" w:rsidP="00D173D4">
      <w:pPr>
        <w:jc w:val="center"/>
        <w:rPr>
          <w:rFonts w:ascii="Aptos SemiBold" w:hAnsi="Aptos SemiBold"/>
          <w:sz w:val="32"/>
          <w:szCs w:val="32"/>
        </w:rPr>
      </w:pPr>
      <w:r>
        <w:rPr>
          <w:rFonts w:ascii="Aptos SemiBold" w:hAnsi="Aptos SemiBold"/>
          <w:sz w:val="32"/>
          <w:szCs w:val="32"/>
        </w:rPr>
        <w:t>Budgeting Guidelines for Counties &amp; Municipalities</w:t>
      </w:r>
    </w:p>
    <w:p w14:paraId="0F476403" w14:textId="3BD56A17" w:rsidR="00D173D4" w:rsidRPr="00D173D4" w:rsidRDefault="00D173D4" w:rsidP="00D173D4">
      <w:pPr>
        <w:rPr>
          <w:b/>
          <w:bCs/>
          <w:u w:val="single"/>
        </w:rPr>
      </w:pPr>
      <w:hyperlink r:id="rId5" w:history="1">
        <w:r w:rsidRPr="00AC4AA3">
          <w:rPr>
            <w:rStyle w:val="Hyperlink"/>
            <w:b/>
            <w:bCs/>
          </w:rPr>
          <w:t>Local Government Budget Management System (LGBMS)</w:t>
        </w:r>
      </w:hyperlink>
    </w:p>
    <w:p w14:paraId="01FE5DEB" w14:textId="4D411D4A" w:rsidR="00D173D4" w:rsidRDefault="00D173D4" w:rsidP="00D173D4">
      <w:r w:rsidRPr="00D173D4">
        <w:t xml:space="preserve">Pursuant to Section 6-6-2. K. NMSA 1978, DFA/LGD requires that interim budgets for counties and municipalities be submitted on LGBMS. Additionally, budget supporting schedules in the </w:t>
      </w:r>
      <w:hyperlink r:id="rId6" w:history="1">
        <w:r w:rsidRPr="00AC4AA3">
          <w:rPr>
            <w:rStyle w:val="Hyperlink"/>
          </w:rPr>
          <w:t>prescribed Excel format</w:t>
        </w:r>
      </w:hyperlink>
      <w:r w:rsidRPr="00D173D4">
        <w:t xml:space="preserve"> must also be submitted electronically as attached files via LGBMS.</w:t>
      </w:r>
    </w:p>
    <w:p w14:paraId="14D77278" w14:textId="229506EE" w:rsidR="00D173D4" w:rsidRDefault="00D173D4" w:rsidP="00D173D4">
      <w:r>
        <w:t xml:space="preserve">Counties and municipalities must </w:t>
      </w:r>
      <w:r w:rsidRPr="00D173D4">
        <w:t xml:space="preserve">update submission of a NEW </w:t>
      </w:r>
      <w:hyperlink r:id="rId7" w:history="1">
        <w:r w:rsidRPr="00563B3B">
          <w:rPr>
            <w:rStyle w:val="Hyperlink"/>
            <w:b/>
            <w:bCs/>
            <w:i/>
            <w:iCs/>
          </w:rPr>
          <w:t>Security Access Form (SAF)</w:t>
        </w:r>
      </w:hyperlink>
      <w:r w:rsidRPr="00D173D4">
        <w:t xml:space="preserve"> in LGBMS for everyone within your local government who requires access to the system for </w:t>
      </w:r>
      <w:r>
        <w:t>the fiscal year.</w:t>
      </w:r>
      <w:r w:rsidRPr="00D173D4">
        <w:t xml:space="preserve"> To safeguard the data submitted on LGBMS, be sure to deactivate the account in LGBMS of anyone that no longer needs access to the system or has left your organization.</w:t>
      </w:r>
    </w:p>
    <w:p w14:paraId="01BA6897" w14:textId="19641102" w:rsidR="00D173D4" w:rsidRDefault="00AC4AA3" w:rsidP="00D173D4">
      <w:pPr>
        <w:rPr>
          <w:b/>
          <w:bCs/>
          <w:u w:val="single"/>
        </w:rPr>
      </w:pPr>
      <w:r>
        <w:rPr>
          <w:b/>
          <w:bCs/>
          <w:u w:val="single"/>
        </w:rPr>
        <w:t>Fiscal Guidance/Tips</w:t>
      </w:r>
    </w:p>
    <w:p w14:paraId="5BAF9847" w14:textId="50FBAD01" w:rsidR="00AC4AA3" w:rsidRDefault="00AC4AA3" w:rsidP="00D173D4">
      <w:r>
        <w:t>The following recommendations are offered in preparing a balanced budget, especially if your local government is facing financial challenges:</w:t>
      </w:r>
    </w:p>
    <w:p w14:paraId="57C4C7A9" w14:textId="12B7A351" w:rsidR="00AC4AA3" w:rsidRDefault="00AC4AA3" w:rsidP="00AC4AA3">
      <w:pPr>
        <w:pStyle w:val="ListParagraph"/>
        <w:numPr>
          <w:ilvl w:val="0"/>
          <w:numId w:val="1"/>
        </w:numPr>
      </w:pPr>
      <w:r w:rsidRPr="00AC4AA3">
        <w:t>Adopting and applying a formal policy that strictly disallows recurring expenditures from cash balances and non-recurring revenues</w:t>
      </w:r>
      <w:r>
        <w:t>.</w:t>
      </w:r>
    </w:p>
    <w:p w14:paraId="042ED7BA" w14:textId="4C780DC7" w:rsidR="00AC4AA3" w:rsidRDefault="00AC4AA3" w:rsidP="00AC4AA3">
      <w:pPr>
        <w:pStyle w:val="ListParagraph"/>
        <w:numPr>
          <w:ilvl w:val="0"/>
          <w:numId w:val="1"/>
        </w:numPr>
      </w:pPr>
      <w:r w:rsidRPr="00AC4AA3">
        <w:t>Implementing an immediate freeze on all current vacant employee positions (excluding health and public safety services positions) as well as increases to employee salaries (excluding union contractual obligations)</w:t>
      </w:r>
      <w:r>
        <w:t>.</w:t>
      </w:r>
    </w:p>
    <w:p w14:paraId="2F994825" w14:textId="47501AD4" w:rsidR="00AC4AA3" w:rsidRDefault="00AC4AA3" w:rsidP="00AC4AA3">
      <w:pPr>
        <w:pStyle w:val="ListParagraph"/>
        <w:numPr>
          <w:ilvl w:val="0"/>
          <w:numId w:val="1"/>
        </w:numPr>
      </w:pPr>
      <w:r w:rsidRPr="00AC4AA3">
        <w:t>Implementing an immediate freeze on any new non-essential contracts that affect the General Fund</w:t>
      </w:r>
      <w:r>
        <w:t>.</w:t>
      </w:r>
    </w:p>
    <w:p w14:paraId="1F7D83C9" w14:textId="0F3EA44F" w:rsidR="00AC4AA3" w:rsidRDefault="00AC4AA3" w:rsidP="00AC4AA3">
      <w:pPr>
        <w:pStyle w:val="ListParagraph"/>
        <w:numPr>
          <w:ilvl w:val="0"/>
          <w:numId w:val="1"/>
        </w:numPr>
      </w:pPr>
      <w:r w:rsidRPr="00AC4AA3">
        <w:t xml:space="preserve">Discontinue the practice of providing funds to any non-profit organizations that are not tied to </w:t>
      </w:r>
      <w:r w:rsidR="004174AF" w:rsidRPr="00AC4AA3">
        <w:t>legislative</w:t>
      </w:r>
      <w:r w:rsidRPr="00AC4AA3">
        <w:t xml:space="preserve"> appropriation</w:t>
      </w:r>
      <w:r>
        <w:t>.</w:t>
      </w:r>
    </w:p>
    <w:p w14:paraId="07A21BB8" w14:textId="0334D4F3" w:rsidR="00AC4AA3" w:rsidRPr="00AC4AA3" w:rsidRDefault="00AC4AA3" w:rsidP="00AC4AA3">
      <w:pPr>
        <w:rPr>
          <w:b/>
          <w:bCs/>
          <w:u w:val="single"/>
        </w:rPr>
      </w:pPr>
      <w:hyperlink r:id="rId8" w:history="1">
        <w:r w:rsidRPr="00E6071B">
          <w:rPr>
            <w:rStyle w:val="Hyperlink"/>
            <w:b/>
            <w:bCs/>
          </w:rPr>
          <w:t>Required Supporting Schedules</w:t>
        </w:r>
      </w:hyperlink>
    </w:p>
    <w:tbl>
      <w:tblPr>
        <w:tblW w:w="9792" w:type="dxa"/>
        <w:tblLook w:val="04A0" w:firstRow="1" w:lastRow="0" w:firstColumn="1" w:lastColumn="0" w:noHBand="0" w:noVBand="1"/>
      </w:tblPr>
      <w:tblGrid>
        <w:gridCol w:w="2335"/>
        <w:gridCol w:w="7457"/>
      </w:tblGrid>
      <w:tr w:rsidR="00AC4AA3" w:rsidRPr="00852E76" w14:paraId="08D53287" w14:textId="77777777" w:rsidTr="00E6071B">
        <w:trPr>
          <w:trHeight w:val="30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AAA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Property Tax Calculation Worksheet 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D1BE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Calculates projected property tax revenue.</w:t>
            </w:r>
          </w:p>
        </w:tc>
      </w:tr>
      <w:tr w:rsidR="00AC4AA3" w:rsidRPr="00852E76" w14:paraId="50535EE6" w14:textId="77777777" w:rsidTr="00E6071B">
        <w:trPr>
          <w:trHeight w:val="306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29F9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Debt Schedule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9DA" w14:textId="2D6BCBD3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Lists all outstanding debt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(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loans, revenue &amp; general obligation 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>bonds.)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 xml:space="preserve">Electronically in </w:t>
            </w:r>
            <w:r w:rsidR="00E6071B"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>LGBMS,</w:t>
            </w:r>
            <w:r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 xml:space="preserve"> make sure it ties to your Amortization Schedules.</w:t>
            </w:r>
          </w:p>
        </w:tc>
      </w:tr>
      <w:tr w:rsidR="00AC4AA3" w:rsidRPr="00852E76" w14:paraId="737FF36D" w14:textId="77777777" w:rsidTr="00E6071B">
        <w:trPr>
          <w:trHeight w:val="800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D64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S-5 (DETAIL OF NON-BUDGETED RESERVE REQUIREMENTS form)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504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Lists additional reserves (not LGD required reserves which are automatically calculated by LGBMS) and must tie to amounts reported in LGBMS under Object Code 10105 Locally Imposed Reserve.</w:t>
            </w:r>
          </w:p>
        </w:tc>
      </w:tr>
      <w:tr w:rsidR="00AC4AA3" w:rsidRPr="00852E76" w14:paraId="4A0F9206" w14:textId="77777777" w:rsidTr="00E6071B">
        <w:trPr>
          <w:trHeight w:val="2110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8CC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hyperlink r:id="rId9" w:history="1">
              <w:r w:rsidRPr="00D51D88">
                <w:rPr>
                  <w:rFonts w:eastAsia="Times New Roman"/>
                  <w:sz w:val="22"/>
                  <w:szCs w:val="22"/>
                </w:rPr>
                <w:t xml:space="preserve">Revenue Checklist </w:t>
              </w:r>
            </w:hyperlink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B8AD" w14:textId="437F9E76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Lists all GRT imposed increments including intercepted GRT amounts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>. D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ue to de-earmarking of GRT revenue 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pursuant to 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>enactment of 2019 House Bill 479, local governments have more discretion in budgeting revenue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; however, 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“GRT” LGBMS line items 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should be 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>used for tracking purposes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>. R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>efer to Memorandum #BFB-21-05 “Guidelines on Revised GRT Reporting Codes”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E6071B" w:rsidRPr="00D51D88">
                <w:rPr>
                  <w:rStyle w:val="Hyperlink"/>
                  <w:rFonts w:eastAsia="Times New Roman"/>
                  <w:sz w:val="22"/>
                  <w:szCs w:val="22"/>
                </w:rPr>
                <w:t>(click here)</w:t>
              </w:r>
            </w:hyperlink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AC4AA3" w:rsidRPr="00852E76" w14:paraId="5A23E2C5" w14:textId="77777777" w:rsidTr="00E6071B">
        <w:trPr>
          <w:trHeight w:val="306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D77" w14:textId="359B0924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S-2 (SCHEDULE OF INSURANCE)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D8B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Lists all insurance costs.</w:t>
            </w:r>
          </w:p>
        </w:tc>
      </w:tr>
      <w:tr w:rsidR="00AC4AA3" w:rsidRPr="00852E76" w14:paraId="0905AD55" w14:textId="77777777" w:rsidTr="00E6071B">
        <w:trPr>
          <w:trHeight w:val="5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F07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Salary Schedule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F2C1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Lists salaries and benefits associated with each budgeted position; [Personnel schedules generated from your systems will be accepted]. </w:t>
            </w:r>
          </w:p>
        </w:tc>
      </w:tr>
      <w:tr w:rsidR="00AC4AA3" w:rsidRPr="00852E76" w14:paraId="776D5444" w14:textId="77777777" w:rsidTr="00E6071B">
        <w:trPr>
          <w:trHeight w:val="538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9D7" w14:textId="11EEFD2C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Budget Work Plan Questionnaire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D48" w14:textId="30671C43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Describes major issues affecting an entity’s budget and how those factors are being addressed in the budget.</w:t>
            </w:r>
          </w:p>
        </w:tc>
      </w:tr>
    </w:tbl>
    <w:p w14:paraId="3BC5DB76" w14:textId="77777777" w:rsidR="00AC4AA3" w:rsidRDefault="00AC4AA3" w:rsidP="00AC4AA3"/>
    <w:p w14:paraId="46D5803A" w14:textId="0553C0DC" w:rsidR="000F0B17" w:rsidRDefault="000F0B17" w:rsidP="00AC4AA3">
      <w:pPr>
        <w:rPr>
          <w:b/>
          <w:bCs/>
          <w:u w:val="single"/>
        </w:rPr>
      </w:pPr>
      <w:r>
        <w:rPr>
          <w:b/>
          <w:bCs/>
          <w:u w:val="single"/>
        </w:rPr>
        <w:t>LGBMS Generated Budget Recapitulation (Recap)</w:t>
      </w:r>
    </w:p>
    <w:p w14:paraId="0834BB99" w14:textId="129CD2C3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0F0B17">
        <w:rPr>
          <w:i/>
          <w:iCs/>
          <w:u w:val="single"/>
        </w:rPr>
        <w:t>Beginning cash</w:t>
      </w:r>
      <w:r>
        <w:t xml:space="preserve"> on recap page </w:t>
      </w:r>
      <w:r w:rsidRPr="000F0B17">
        <w:rPr>
          <w:color w:val="E97132" w:themeColor="accent2"/>
        </w:rPr>
        <w:t>must tie to the</w:t>
      </w:r>
      <w:r>
        <w:rPr>
          <w:color w:val="E97132" w:themeColor="accent2"/>
        </w:rPr>
        <w:t xml:space="preserve"> prior year’s</w:t>
      </w:r>
      <w:r w:rsidRPr="000F0B17">
        <w:rPr>
          <w:color w:val="E97132" w:themeColor="accent2"/>
        </w:rPr>
        <w:t xml:space="preserve"> 4</w:t>
      </w:r>
      <w:r w:rsidRPr="000F0B17">
        <w:rPr>
          <w:color w:val="E97132" w:themeColor="accent2"/>
          <w:vertAlign w:val="superscript"/>
        </w:rPr>
        <w:t>th</w:t>
      </w:r>
      <w:r w:rsidRPr="000F0B17">
        <w:rPr>
          <w:color w:val="E97132" w:themeColor="accent2"/>
        </w:rPr>
        <w:t xml:space="preserve"> quarter report ending cash</w:t>
      </w:r>
      <w:r>
        <w:t xml:space="preserve"> (before reserves)</w:t>
      </w:r>
    </w:p>
    <w:p w14:paraId="1877D999" w14:textId="0CE446B0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 xml:space="preserve">Investments </w:t>
      </w:r>
      <w:r w:rsidRPr="000F0B17">
        <w:rPr>
          <w:color w:val="E97132" w:themeColor="accent2"/>
        </w:rPr>
        <w:t xml:space="preserve">must be reported in the </w:t>
      </w:r>
      <w:r>
        <w:rPr>
          <w:color w:val="E97132" w:themeColor="accent2"/>
        </w:rPr>
        <w:t>“</w:t>
      </w:r>
      <w:r w:rsidRPr="000F0B17">
        <w:rPr>
          <w:color w:val="E97132" w:themeColor="accent2"/>
        </w:rPr>
        <w:t>investments</w:t>
      </w:r>
      <w:r>
        <w:rPr>
          <w:color w:val="E97132" w:themeColor="accent2"/>
        </w:rPr>
        <w:t>”</w:t>
      </w:r>
      <w:r w:rsidRPr="000F0B17">
        <w:rPr>
          <w:color w:val="E97132" w:themeColor="accent2"/>
        </w:rPr>
        <w:t xml:space="preserve"> column</w:t>
      </w:r>
    </w:p>
    <w:p w14:paraId="4B4518B6" w14:textId="57FF0749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 xml:space="preserve">Total Transfers </w:t>
      </w:r>
      <w:r w:rsidRPr="000F0B17">
        <w:rPr>
          <w:color w:val="E97132" w:themeColor="accent2"/>
        </w:rPr>
        <w:t>must always be equal to zero</w:t>
      </w:r>
      <w:r>
        <w:t xml:space="preserve"> (LGBMS will flag as an error)</w:t>
      </w:r>
    </w:p>
    <w:p w14:paraId="4361604A" w14:textId="0C4C83E8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>Adjusted Ending Cash balances</w:t>
      </w:r>
      <w:r>
        <w:t xml:space="preserve"> of any Fund </w:t>
      </w:r>
      <w:r w:rsidRPr="000F0B17">
        <w:rPr>
          <w:color w:val="E97132" w:themeColor="accent2"/>
        </w:rPr>
        <w:t>cannot be negative</w:t>
      </w:r>
      <w:r>
        <w:rPr>
          <w:color w:val="E97132" w:themeColor="accent2"/>
        </w:rPr>
        <w:t xml:space="preserve">, </w:t>
      </w:r>
      <w:r>
        <w:t>including Funds that are awaiting grant reimbursements (LGBMS will flag as an error)</w:t>
      </w:r>
    </w:p>
    <w:p w14:paraId="6C121529" w14:textId="4FF3AE57" w:rsidR="000F0B17" w:rsidRPr="00D51D88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>County Expenditure Limitations:</w:t>
      </w:r>
      <w:r>
        <w:t xml:space="preserve"> Pursuant to Section 6-6-7 NMSA 1978, county officials may not expend </w:t>
      </w:r>
      <w:proofErr w:type="gramStart"/>
      <w:r>
        <w:t>in excess of</w:t>
      </w:r>
      <w:proofErr w:type="gramEnd"/>
      <w:r>
        <w:t xml:space="preserve"> 50% of the approved budget for the fiscal year during which the terms of office of any official will expire.</w:t>
      </w:r>
    </w:p>
    <w:p w14:paraId="327EEC26" w14:textId="77777777" w:rsidR="00D51D88" w:rsidRPr="00D51D88" w:rsidRDefault="00D51D88" w:rsidP="00D51D88">
      <w:pPr>
        <w:rPr>
          <w:b/>
          <w:bCs/>
          <w:u w:val="single"/>
        </w:rPr>
      </w:pPr>
    </w:p>
    <w:p w14:paraId="2239C3E2" w14:textId="58FA3A7F" w:rsidR="00041A89" w:rsidRPr="00041A89" w:rsidRDefault="00041A89" w:rsidP="00041A89">
      <w:pPr>
        <w:rPr>
          <w:b/>
          <w:u w:val="single"/>
        </w:rPr>
      </w:pPr>
      <w:r w:rsidRPr="00041A89">
        <w:rPr>
          <w:b/>
          <w:u w:val="single"/>
        </w:rPr>
        <w:t>State Required Reserves will be automatically calculated by LGBMS as follows: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2875"/>
        <w:gridCol w:w="7065"/>
      </w:tblGrid>
      <w:tr w:rsidR="00041A89" w:rsidRPr="00852E76" w14:paraId="0087E160" w14:textId="77777777" w:rsidTr="00041A89">
        <w:trPr>
          <w:trHeight w:val="257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7E4F" w14:textId="77777777" w:rsidR="00041A89" w:rsidRPr="00D51D88" w:rsidRDefault="00041A89" w:rsidP="0065540A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General Fund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Reserve Requirements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61EE" w14:textId="7A61B781" w:rsidR="00041A89" w:rsidRPr="00D51D88" w:rsidRDefault="00041A89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Municipality Reserve is 1/12</w:t>
            </w:r>
            <w:r w:rsidRPr="00D51D88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of total budgeted expenditures</w:t>
            </w:r>
          </w:p>
        </w:tc>
      </w:tr>
      <w:tr w:rsidR="00041A89" w:rsidRPr="00852E76" w14:paraId="59E54C80" w14:textId="77777777" w:rsidTr="00041A89">
        <w:trPr>
          <w:trHeight w:val="257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C14A" w14:textId="77777777" w:rsidR="00041A89" w:rsidRPr="00D51D88" w:rsidRDefault="00041A89" w:rsidP="0065540A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348A" w14:textId="77777777" w:rsidR="00041A89" w:rsidRPr="00D51D88" w:rsidRDefault="00041A89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County Reserve is 3/12</w:t>
            </w:r>
            <w:r w:rsidRPr="00D51D88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ths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of total budgeted expenditures</w:t>
            </w:r>
          </w:p>
        </w:tc>
      </w:tr>
      <w:tr w:rsidR="00041A89" w:rsidRPr="00852E76" w14:paraId="150A4A4E" w14:textId="77777777" w:rsidTr="00041A89">
        <w:trPr>
          <w:trHeight w:val="257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B772" w14:textId="77777777" w:rsidR="00041A89" w:rsidRPr="00D51D88" w:rsidRDefault="00041A89" w:rsidP="0065540A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County Road Fund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Reserve Requirements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6E4C" w14:textId="77777777" w:rsidR="00041A89" w:rsidRPr="00D51D88" w:rsidRDefault="00041A89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County Reserve is 1/12</w:t>
            </w:r>
            <w:r w:rsidRPr="00D51D88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of total budgeted expenditures</w:t>
            </w:r>
          </w:p>
        </w:tc>
      </w:tr>
    </w:tbl>
    <w:p w14:paraId="68959762" w14:textId="77777777" w:rsidR="00D51D88" w:rsidRDefault="00D51D88" w:rsidP="00D51D88">
      <w:pPr>
        <w:rPr>
          <w:b/>
          <w:bCs/>
          <w:u w:val="single"/>
        </w:rPr>
      </w:pPr>
    </w:p>
    <w:p w14:paraId="5F2A2CB8" w14:textId="77777777" w:rsidR="00D51D88" w:rsidRDefault="00D51D88" w:rsidP="00D51D88">
      <w:pPr>
        <w:rPr>
          <w:b/>
          <w:bCs/>
          <w:u w:val="single"/>
        </w:rPr>
      </w:pPr>
    </w:p>
    <w:p w14:paraId="7121CDD1" w14:textId="297780D1" w:rsidR="00D51D88" w:rsidRPr="00D51D88" w:rsidRDefault="00D51D88" w:rsidP="00D51D88">
      <w:pPr>
        <w:rPr>
          <w:b/>
          <w:bCs/>
          <w:u w:val="single"/>
        </w:rPr>
      </w:pPr>
      <w:r w:rsidRPr="00D51D88">
        <w:rPr>
          <w:b/>
          <w:bCs/>
          <w:u w:val="single"/>
        </w:rPr>
        <w:lastRenderedPageBreak/>
        <w:t>Salary Increases</w:t>
      </w:r>
    </w:p>
    <w:p w14:paraId="73AF14C2" w14:textId="6E433C59" w:rsidR="00041A89" w:rsidRPr="00D51D88" w:rsidRDefault="00D51D88" w:rsidP="00D51D88">
      <w:r w:rsidRPr="00D51D88">
        <w:t>One- time temporary salary increases (known as bonuses) are not allowed</w:t>
      </w:r>
      <w:r>
        <w:t xml:space="preserve"> (</w:t>
      </w:r>
      <w:hyperlink r:id="rId11" w:history="1">
        <w:r w:rsidRPr="00D51D88">
          <w:rPr>
            <w:rStyle w:val="Hyperlink"/>
          </w:rPr>
          <w:t>see "July 2, 2008 Memo Performance Bonuses, Retroactive Pay Increases and Bonuses In Lieu of Pay Increases" memo</w:t>
        </w:r>
      </w:hyperlink>
      <w:r>
        <w:t>.)</w:t>
      </w:r>
    </w:p>
    <w:p w14:paraId="03DE2F7B" w14:textId="77777777" w:rsidR="000F0B17" w:rsidRPr="000F0B17" w:rsidRDefault="000F0B17" w:rsidP="000F0B17">
      <w:pPr>
        <w:rPr>
          <w:b/>
          <w:bCs/>
          <w:u w:val="single"/>
        </w:rPr>
      </w:pPr>
      <w:r w:rsidRPr="000F0B17">
        <w:rPr>
          <w:b/>
          <w:bCs/>
          <w:u w:val="single"/>
        </w:rPr>
        <w:t>Local Governing Body Procedures for Credit Card and Electronic Transfer Payments</w:t>
      </w:r>
    </w:p>
    <w:p w14:paraId="7DD0390D" w14:textId="7AB17792" w:rsidR="000F0B17" w:rsidRPr="000F0B17" w:rsidRDefault="000F0B17" w:rsidP="00041A89">
      <w:r w:rsidRPr="000F0B17">
        <w:t xml:space="preserve">Pursuant to 6-10-1.2, NMSA 1978, </w:t>
      </w:r>
      <w:r w:rsidR="00041A89" w:rsidRPr="00041A89">
        <w:rPr>
          <w:i/>
          <w:iCs/>
        </w:rPr>
        <w:t xml:space="preserve">“The local governing body shall adopt procedures, subject to the approval of the </w:t>
      </w:r>
      <w:r w:rsidR="00041A89" w:rsidRPr="00041A89">
        <w:rPr>
          <w:b/>
          <w:bCs/>
          <w:i/>
          <w:iCs/>
        </w:rPr>
        <w:t>department</w:t>
      </w:r>
      <w:r w:rsidR="00041A89" w:rsidRPr="00041A89">
        <w:rPr>
          <w:i/>
          <w:iCs/>
        </w:rPr>
        <w:t>, on the terms and conditions of accepting payments by credit card or electronic transfer.”</w:t>
      </w:r>
      <w:r w:rsidR="00041A89">
        <w:rPr>
          <w:i/>
          <w:iCs/>
        </w:rPr>
        <w:t xml:space="preserve"> </w:t>
      </w:r>
      <w:r w:rsidR="00041A89">
        <w:t>[</w:t>
      </w:r>
      <w:r w:rsidR="00041A89" w:rsidRPr="00041A89">
        <w:rPr>
          <w:b/>
          <w:bCs/>
        </w:rPr>
        <w:t>“Department”</w:t>
      </w:r>
      <w:r w:rsidR="00041A89">
        <w:t xml:space="preserve"> is the Department of Finance and Administration (DFA).]</w:t>
      </w:r>
      <w:r w:rsidR="00041A89" w:rsidRPr="000F0B17">
        <w:t xml:space="preserve"> </w:t>
      </w:r>
      <w:r w:rsidR="00041A89">
        <w:t xml:space="preserve">Therefore, </w:t>
      </w:r>
      <w:r w:rsidR="00041A89" w:rsidRPr="000F0B17">
        <w:t>Local</w:t>
      </w:r>
      <w:r w:rsidRPr="000F0B17">
        <w:t xml:space="preserve"> Governing Bodies </w:t>
      </w:r>
      <w:r w:rsidR="00041A89">
        <w:t xml:space="preserve">must </w:t>
      </w:r>
      <w:r w:rsidRPr="000F0B17">
        <w:t>submit their internal policies and procedures dealing with the acceptance of payments by credit card or electronic transfers at the local level</w:t>
      </w:r>
      <w:r w:rsidR="00041A89">
        <w:t xml:space="preserve"> with their interim budget submittal on LGBMS</w:t>
      </w:r>
      <w:r w:rsidRPr="000F0B17">
        <w:t>.</w:t>
      </w:r>
    </w:p>
    <w:p w14:paraId="781F4004" w14:textId="0468CCB9" w:rsidR="000F0B17" w:rsidRPr="000F0B17" w:rsidRDefault="00041A89" w:rsidP="000F0B17">
      <w:r>
        <w:t xml:space="preserve">The </w:t>
      </w:r>
      <w:hyperlink r:id="rId12" w:history="1">
        <w:r w:rsidR="000F0B17" w:rsidRPr="00041A89">
          <w:rPr>
            <w:rStyle w:val="Hyperlink"/>
          </w:rPr>
          <w:t>“Checklist for Acceptance of Credit Cards and Electronic Transfers”</w:t>
        </w:r>
      </w:hyperlink>
      <w:r w:rsidR="000F0B17" w:rsidRPr="000F0B17">
        <w:t xml:space="preserve"> and supporting documentation required with the “Checklist” </w:t>
      </w:r>
      <w:r>
        <w:t xml:space="preserve">are </w:t>
      </w:r>
      <w:r w:rsidR="000F0B17" w:rsidRPr="000F0B17">
        <w:t xml:space="preserve">to be submitted with the </w:t>
      </w:r>
      <w:r>
        <w:t>in</w:t>
      </w:r>
      <w:r w:rsidR="000F0B17" w:rsidRPr="000F0B17">
        <w:t xml:space="preserve">terim </w:t>
      </w:r>
      <w:r>
        <w:t>b</w:t>
      </w:r>
      <w:r w:rsidR="000F0B17" w:rsidRPr="000F0B17">
        <w:t>udget, on or before June 1</w:t>
      </w:r>
      <w:r w:rsidRPr="00041A89">
        <w:rPr>
          <w:vertAlign w:val="superscript"/>
        </w:rPr>
        <w:t>st</w:t>
      </w:r>
      <w:r>
        <w:t xml:space="preserve">. </w:t>
      </w:r>
    </w:p>
    <w:p w14:paraId="61E7D695" w14:textId="77777777" w:rsidR="000F0B17" w:rsidRPr="000F0B17" w:rsidRDefault="000F0B17" w:rsidP="000F0B17">
      <w:pPr>
        <w:rPr>
          <w:b/>
          <w:bCs/>
          <w:u w:val="single"/>
        </w:rPr>
      </w:pPr>
    </w:p>
    <w:p w14:paraId="4A68A2F1" w14:textId="77777777" w:rsidR="000F0B17" w:rsidRPr="000F0B17" w:rsidRDefault="000F0B17" w:rsidP="000F0B17">
      <w:pPr>
        <w:rPr>
          <w:b/>
          <w:bCs/>
          <w:u w:val="single"/>
        </w:rPr>
      </w:pPr>
    </w:p>
    <w:sectPr w:rsidR="000F0B17" w:rsidRPr="000F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12E9"/>
    <w:multiLevelType w:val="hybridMultilevel"/>
    <w:tmpl w:val="74B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3373"/>
    <w:multiLevelType w:val="hybridMultilevel"/>
    <w:tmpl w:val="0122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1339">
    <w:abstractNumId w:val="1"/>
  </w:num>
  <w:num w:numId="2" w16cid:durableId="118313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4"/>
    <w:rsid w:val="00041A89"/>
    <w:rsid w:val="000F0B17"/>
    <w:rsid w:val="004174AF"/>
    <w:rsid w:val="00563B3B"/>
    <w:rsid w:val="006647BC"/>
    <w:rsid w:val="006E7317"/>
    <w:rsid w:val="00914681"/>
    <w:rsid w:val="00A2629A"/>
    <w:rsid w:val="00AC4AA3"/>
    <w:rsid w:val="00D108F4"/>
    <w:rsid w:val="00D173D4"/>
    <w:rsid w:val="00D51D88"/>
    <w:rsid w:val="00E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35EF"/>
  <w15:chartTrackingRefBased/>
  <w15:docId w15:val="{EC051D64-3C67-4C4F-B93C-8D95659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3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A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dfa.state.nm.us/local-government/budget-finance-bureau/budget-form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dfa.state.nm.us/local-government/budget-finance-bureau/lgbms/" TargetMode="External"/><Relationship Id="rId12" Type="http://schemas.openxmlformats.org/officeDocument/2006/relationships/hyperlink" Target="https://www.nmdfa.state.nm.us/local-government/budget-finance-bureau/budget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dfa.state.nm.us/local-government/budget-finance-bureau/budget-forms/" TargetMode="External"/><Relationship Id="rId11" Type="http://schemas.openxmlformats.org/officeDocument/2006/relationships/hyperlink" Target="https://www.nmdfa.state.nm.us/local-government/budget-finance-bureau/budget-memos/" TargetMode="External"/><Relationship Id="rId5" Type="http://schemas.openxmlformats.org/officeDocument/2006/relationships/hyperlink" Target="https://www.nmdfa.state.nm.us/local-government/budget-finance-bureau/lgbms" TargetMode="External"/><Relationship Id="rId10" Type="http://schemas.openxmlformats.org/officeDocument/2006/relationships/hyperlink" Target="https://www.nmdfa.state.nm.us/local-government/budget-finance-bureau/budget-mem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dfa.state.nm.us/local-government/budget-finance-bureau/budget-mem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803</Words>
  <Characters>4742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Suazo-Giles, Brenda, DFA</dc:creator>
  <cp:keywords/>
  <dc:description/>
  <cp:lastModifiedBy>Suazo-Giles, Brenda, DFA</cp:lastModifiedBy>
  <cp:revision>3</cp:revision>
  <cp:lastPrinted>2026-03-10T21:21:00Z</cp:lastPrinted>
  <dcterms:created xsi:type="dcterms:W3CDTF">2026-03-10T17:52:00Z</dcterms:created>
  <dcterms:modified xsi:type="dcterms:W3CDTF">2026-03-10T21:36:00Z</dcterms:modified>
</cp:coreProperties>
</file>