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2994" w14:textId="2B63799A" w:rsidR="00914681" w:rsidRPr="00D173D4" w:rsidRDefault="00D173D4" w:rsidP="00D173D4">
      <w:pPr>
        <w:jc w:val="center"/>
        <w:rPr>
          <w:rFonts w:ascii="Aptos SemiBold" w:hAnsi="Aptos SemiBold"/>
          <w:color w:val="2C7C6D"/>
          <w:sz w:val="36"/>
          <w:szCs w:val="36"/>
        </w:rPr>
      </w:pPr>
      <w:r w:rsidRPr="00D173D4">
        <w:rPr>
          <w:rFonts w:ascii="Aptos SemiBold" w:hAnsi="Aptos SemiBold"/>
          <w:color w:val="2C7C6D"/>
          <w:sz w:val="36"/>
          <w:szCs w:val="36"/>
        </w:rPr>
        <w:t>DFA Local Government Division</w:t>
      </w:r>
    </w:p>
    <w:p w14:paraId="11E6CC73" w14:textId="3F9468CC" w:rsidR="00D173D4" w:rsidRPr="00D173D4" w:rsidRDefault="00D173D4" w:rsidP="00D173D4">
      <w:pPr>
        <w:jc w:val="center"/>
        <w:rPr>
          <w:rFonts w:ascii="Aptos SemiBold" w:hAnsi="Aptos SemiBold"/>
          <w:color w:val="2C7C6D"/>
          <w:sz w:val="36"/>
          <w:szCs w:val="36"/>
        </w:rPr>
      </w:pPr>
      <w:r w:rsidRPr="00D173D4">
        <w:rPr>
          <w:rFonts w:ascii="Aptos SemiBold" w:hAnsi="Aptos SemiBold"/>
          <w:color w:val="2C7C6D"/>
          <w:sz w:val="36"/>
          <w:szCs w:val="36"/>
        </w:rPr>
        <w:t>Budget &amp; Finance Bureau</w:t>
      </w:r>
    </w:p>
    <w:p w14:paraId="02712892" w14:textId="4AB842ED" w:rsidR="00D173D4" w:rsidRDefault="00D173D4" w:rsidP="00D173D4">
      <w:pPr>
        <w:jc w:val="center"/>
        <w:rPr>
          <w:rFonts w:ascii="Aptos SemiBold" w:hAnsi="Aptos SemiBold"/>
          <w:sz w:val="32"/>
          <w:szCs w:val="32"/>
        </w:rPr>
      </w:pPr>
      <w:r>
        <w:rPr>
          <w:rFonts w:ascii="Aptos SemiBold" w:hAnsi="Aptos SemiBold"/>
          <w:sz w:val="32"/>
          <w:szCs w:val="32"/>
        </w:rPr>
        <w:t xml:space="preserve">Budgeting Guidelines for </w:t>
      </w:r>
      <w:r w:rsidR="007865EC">
        <w:rPr>
          <w:rFonts w:ascii="Aptos SemiBold" w:hAnsi="Aptos SemiBold"/>
          <w:sz w:val="32"/>
          <w:szCs w:val="32"/>
        </w:rPr>
        <w:t>Special Districts</w:t>
      </w:r>
    </w:p>
    <w:p w14:paraId="0F476403" w14:textId="3BD56A17" w:rsidR="00D173D4" w:rsidRPr="00D173D4" w:rsidRDefault="00D173D4" w:rsidP="00D173D4">
      <w:pPr>
        <w:rPr>
          <w:b/>
          <w:bCs/>
          <w:u w:val="single"/>
        </w:rPr>
      </w:pPr>
      <w:hyperlink r:id="rId5" w:history="1">
        <w:r w:rsidRPr="00AC4AA3">
          <w:rPr>
            <w:rStyle w:val="Hyperlink"/>
            <w:b/>
            <w:bCs/>
          </w:rPr>
          <w:t>Local Government Budget Management System (LGBMS)</w:t>
        </w:r>
      </w:hyperlink>
    </w:p>
    <w:p w14:paraId="01FE5DEB" w14:textId="6EFC7E9E" w:rsidR="00D173D4" w:rsidRDefault="00D173D4" w:rsidP="00D173D4">
      <w:r w:rsidRPr="00D173D4">
        <w:t xml:space="preserve">Pursuant to Section 6-6-2. K. NMSA 1978, DFA/LGD requires that interim budgets for </w:t>
      </w:r>
      <w:r w:rsidR="007865EC">
        <w:t xml:space="preserve">special districts </w:t>
      </w:r>
      <w:r w:rsidRPr="00D173D4">
        <w:t xml:space="preserve">be submitted </w:t>
      </w:r>
      <w:proofErr w:type="gramStart"/>
      <w:r w:rsidRPr="00D173D4">
        <w:t>on</w:t>
      </w:r>
      <w:proofErr w:type="gramEnd"/>
      <w:r w:rsidRPr="00D173D4">
        <w:t xml:space="preserve"> LGBMS. Additionally, budget supporting schedules in the </w:t>
      </w:r>
      <w:hyperlink r:id="rId6" w:history="1">
        <w:r w:rsidRPr="00AC4AA3">
          <w:rPr>
            <w:rStyle w:val="Hyperlink"/>
          </w:rPr>
          <w:t>prescribed Excel format</w:t>
        </w:r>
      </w:hyperlink>
      <w:r w:rsidRPr="00D173D4">
        <w:t xml:space="preserve"> must also be submitted electronically as attached files via LGBMS.</w:t>
      </w:r>
    </w:p>
    <w:p w14:paraId="14D77278" w14:textId="00DA9BE0" w:rsidR="00D173D4" w:rsidRDefault="007865EC" w:rsidP="00D173D4">
      <w:r>
        <w:t xml:space="preserve">Special Districts </w:t>
      </w:r>
      <w:r w:rsidR="00D173D4">
        <w:t xml:space="preserve">must </w:t>
      </w:r>
      <w:r w:rsidR="00D173D4" w:rsidRPr="00D173D4">
        <w:t xml:space="preserve">update submission of a NEW </w:t>
      </w:r>
      <w:hyperlink r:id="rId7" w:history="1">
        <w:r w:rsidR="00D173D4" w:rsidRPr="006205FA">
          <w:rPr>
            <w:rStyle w:val="Hyperlink"/>
            <w:b/>
            <w:bCs/>
            <w:i/>
            <w:iCs/>
          </w:rPr>
          <w:t>Security Access Form (SAF)</w:t>
        </w:r>
      </w:hyperlink>
      <w:r w:rsidR="00D173D4" w:rsidRPr="00D173D4">
        <w:t xml:space="preserve"> in LGBMS for everyone within your local government who requires access to the system for </w:t>
      </w:r>
      <w:r w:rsidR="00D173D4">
        <w:t>the fiscal year.</w:t>
      </w:r>
      <w:r w:rsidR="00D173D4" w:rsidRPr="00D173D4">
        <w:t xml:space="preserve"> To safeguard the data submitted on LGBMS, be sure to deactivate the account in LGBMS of anyone that no longer needs access to the system or has left your organization.</w:t>
      </w:r>
    </w:p>
    <w:p w14:paraId="0DE8397C" w14:textId="43BACFC7" w:rsidR="007865EC" w:rsidRDefault="007D396D" w:rsidP="00D173D4">
      <w:pPr>
        <w:rPr>
          <w:b/>
          <w:bCs/>
          <w:u w:val="single"/>
        </w:rPr>
      </w:pPr>
      <w:r>
        <w:rPr>
          <w:b/>
          <w:bCs/>
          <w:u w:val="single"/>
        </w:rPr>
        <w:t>LGBMS Budget Submission Simplification</w:t>
      </w:r>
    </w:p>
    <w:p w14:paraId="6F31A9C8" w14:textId="456F9E08" w:rsidR="007D396D" w:rsidRDefault="007D396D" w:rsidP="007D396D">
      <w:r>
        <w:t>If you</w:t>
      </w:r>
      <w:r>
        <w:t xml:space="preserve">r </w:t>
      </w:r>
      <w:r>
        <w:t xml:space="preserve">special district </w:t>
      </w:r>
      <w:r>
        <w:t xml:space="preserve">is </w:t>
      </w:r>
      <w:r>
        <w:t xml:space="preserve">currently using </w:t>
      </w:r>
      <w:r>
        <w:t xml:space="preserve">LGBMS, </w:t>
      </w:r>
      <w:r>
        <w:t>please follow these steps to simplify your budget submission:</w:t>
      </w:r>
    </w:p>
    <w:p w14:paraId="5F4B485A" w14:textId="4BB66CAE" w:rsidR="007D396D" w:rsidRDefault="007D396D" w:rsidP="007D396D">
      <w:pPr>
        <w:pStyle w:val="ListParagraph"/>
        <w:numPr>
          <w:ilvl w:val="0"/>
          <w:numId w:val="3"/>
        </w:numPr>
      </w:pPr>
      <w:r>
        <w:t xml:space="preserve">Navigate to the LGBMS Reporting Module and open </w:t>
      </w:r>
      <w:r>
        <w:t xml:space="preserve">the most current </w:t>
      </w:r>
      <w:r>
        <w:t>completed quarter</w:t>
      </w:r>
      <w:r>
        <w:t xml:space="preserve"> for the current fiscal year</w:t>
      </w:r>
      <w:r>
        <w:t xml:space="preserve"> (for example you can go into period “FY202</w:t>
      </w:r>
      <w:r>
        <w:t>5</w:t>
      </w:r>
      <w:r>
        <w:t xml:space="preserve"> Q</w:t>
      </w:r>
      <w:r>
        <w:t>2”</w:t>
      </w:r>
      <w:r>
        <w:t>).</w:t>
      </w:r>
    </w:p>
    <w:p w14:paraId="14D4163A" w14:textId="403C79D6" w:rsidR="007D396D" w:rsidRDefault="007D396D" w:rsidP="007D396D">
      <w:pPr>
        <w:pStyle w:val="ListParagraph"/>
        <w:numPr>
          <w:ilvl w:val="0"/>
          <w:numId w:val="3"/>
        </w:numPr>
      </w:pPr>
      <w:r>
        <w:t xml:space="preserve">Click on the “My Budget” button at the top of the screen. </w:t>
      </w:r>
      <w:r>
        <w:rPr>
          <w:noProof/>
        </w:rPr>
        <w:drawing>
          <wp:inline distT="0" distB="0" distL="0" distR="0" wp14:anchorId="7F6E7BC6" wp14:editId="2D58D72D">
            <wp:extent cx="6315710" cy="1066800"/>
            <wp:effectExtent l="0" t="0" r="8890" b="0"/>
            <wp:docPr id="10752763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71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006B5" w14:textId="195D1B21" w:rsidR="007D396D" w:rsidRDefault="007D396D" w:rsidP="007D396D">
      <w:pPr>
        <w:pStyle w:val="ListParagraph"/>
        <w:numPr>
          <w:ilvl w:val="0"/>
          <w:numId w:val="3"/>
        </w:numPr>
      </w:pPr>
      <w:r>
        <w:t xml:space="preserve">A “CSV” (comma separated values) file with your entity’s </w:t>
      </w:r>
      <w:r>
        <w:t>current year’s b</w:t>
      </w:r>
      <w:r>
        <w:t xml:space="preserve">udget line items will appear on the screen </w:t>
      </w:r>
      <w:r>
        <w:t xml:space="preserve">so </w:t>
      </w:r>
      <w:r>
        <w:t xml:space="preserve">that you can save </w:t>
      </w:r>
      <w:r>
        <w:t xml:space="preserve">it </w:t>
      </w:r>
      <w:r>
        <w:t>on your computer for creating next year’s budget upload file.</w:t>
      </w:r>
    </w:p>
    <w:p w14:paraId="1ACE007C" w14:textId="42F0CDFC" w:rsidR="007D396D" w:rsidRDefault="007D396D" w:rsidP="007D396D">
      <w:pPr>
        <w:pStyle w:val="ListParagraph"/>
        <w:numPr>
          <w:ilvl w:val="0"/>
          <w:numId w:val="3"/>
        </w:numPr>
      </w:pPr>
      <w:r>
        <w:t xml:space="preserve">Revise the “amount” column as needed and then use the “Save As” option in Excel, save the file with a new file name denoting it as the </w:t>
      </w:r>
      <w:r>
        <w:t xml:space="preserve">next year’s budget (for example </w:t>
      </w:r>
      <w:r>
        <w:t>FY202</w:t>
      </w:r>
      <w:r>
        <w:t>6</w:t>
      </w:r>
      <w:r>
        <w:t>-202</w:t>
      </w:r>
      <w:r>
        <w:t>7</w:t>
      </w:r>
      <w:r>
        <w:t xml:space="preserve"> budget and select “CSV” as the file type.</w:t>
      </w:r>
      <w:r>
        <w:t>)</w:t>
      </w:r>
    </w:p>
    <w:p w14:paraId="6BF54765" w14:textId="77777777" w:rsidR="007D396D" w:rsidRDefault="007D396D" w:rsidP="007D396D"/>
    <w:p w14:paraId="3BC0F04B" w14:textId="77777777" w:rsidR="007D396D" w:rsidRDefault="007D396D" w:rsidP="007D396D"/>
    <w:p w14:paraId="625C399A" w14:textId="1E2CFB4C" w:rsidR="007D396D" w:rsidRDefault="007D396D" w:rsidP="007D396D">
      <w:pPr>
        <w:pStyle w:val="ListParagraph"/>
        <w:numPr>
          <w:ilvl w:val="0"/>
          <w:numId w:val="3"/>
        </w:numPr>
      </w:pPr>
      <w:r>
        <w:lastRenderedPageBreak/>
        <w:t>Navigate to the LGBMS MENU, select and open the Knowledgebase file and follow the instructions beginning on page 22 of the LGBMS Entity User Guide to upload the CSV file.</w:t>
      </w:r>
    </w:p>
    <w:p w14:paraId="071AA57C" w14:textId="492B2627" w:rsidR="007D396D" w:rsidRDefault="007D396D" w:rsidP="007D396D">
      <w:pPr>
        <w:pStyle w:val="ListParagraph"/>
        <w:numPr>
          <w:ilvl w:val="0"/>
          <w:numId w:val="3"/>
        </w:numPr>
      </w:pPr>
      <w:r>
        <w:t>All Special District</w:t>
      </w:r>
      <w:r>
        <w:t>s</w:t>
      </w:r>
      <w:r>
        <w:t xml:space="preserve"> receiving State Legislative Appropriations are required to submit their budget and submit all quarterly report</w:t>
      </w:r>
      <w:r>
        <w:t>s</w:t>
      </w:r>
      <w:r>
        <w:t xml:space="preserve"> in LGBMS.</w:t>
      </w:r>
    </w:p>
    <w:p w14:paraId="581892D8" w14:textId="33FA0E6B" w:rsidR="007D396D" w:rsidRPr="007D396D" w:rsidRDefault="007D396D" w:rsidP="007D396D">
      <w:pPr>
        <w:pStyle w:val="ListParagraph"/>
        <w:numPr>
          <w:ilvl w:val="0"/>
          <w:numId w:val="3"/>
        </w:numPr>
      </w:pPr>
      <w:r>
        <w:t xml:space="preserve">If your Special District is not reporting </w:t>
      </w:r>
      <w:proofErr w:type="gramStart"/>
      <w:r>
        <w:t>in</w:t>
      </w:r>
      <w:proofErr w:type="gramEnd"/>
      <w:r>
        <w:t xml:space="preserve"> LGBMS and </w:t>
      </w:r>
      <w:r>
        <w:t>is</w:t>
      </w:r>
      <w:r>
        <w:t xml:space="preserve"> interested in reporting </w:t>
      </w:r>
      <w:proofErr w:type="gramStart"/>
      <w:r>
        <w:t>in</w:t>
      </w:r>
      <w:proofErr w:type="gramEnd"/>
      <w:r>
        <w:t xml:space="preserve"> LGBMS, please contact your assigned </w:t>
      </w:r>
      <w:r>
        <w:t xml:space="preserve">budget </w:t>
      </w:r>
      <w:r>
        <w:t>analyst.</w:t>
      </w:r>
    </w:p>
    <w:p w14:paraId="01BA6897" w14:textId="20F20997" w:rsidR="00D173D4" w:rsidRDefault="00AC4AA3" w:rsidP="00D173D4">
      <w:pPr>
        <w:rPr>
          <w:b/>
          <w:bCs/>
          <w:u w:val="single"/>
        </w:rPr>
      </w:pPr>
      <w:r>
        <w:rPr>
          <w:b/>
          <w:bCs/>
          <w:u w:val="single"/>
        </w:rPr>
        <w:t>Fiscal Guidance/Tips</w:t>
      </w:r>
    </w:p>
    <w:p w14:paraId="5BAF9847" w14:textId="50FBAD01" w:rsidR="00AC4AA3" w:rsidRDefault="00AC4AA3" w:rsidP="00D173D4">
      <w:r>
        <w:t>The following recommendations are offered in preparing a balanced budget, especially if your local government is facing financial challenges:</w:t>
      </w:r>
    </w:p>
    <w:p w14:paraId="57C4C7A9" w14:textId="12B7A351" w:rsidR="00AC4AA3" w:rsidRDefault="00AC4AA3" w:rsidP="00AC4AA3">
      <w:pPr>
        <w:pStyle w:val="ListParagraph"/>
        <w:numPr>
          <w:ilvl w:val="0"/>
          <w:numId w:val="1"/>
        </w:numPr>
      </w:pPr>
      <w:r w:rsidRPr="00AC4AA3">
        <w:t>Adopting and applying a formal policy that strictly disallows recurring expenditures from cash balances and non-recurring revenues</w:t>
      </w:r>
      <w:r>
        <w:t>.</w:t>
      </w:r>
    </w:p>
    <w:p w14:paraId="1F7D83C9" w14:textId="51B26C75" w:rsidR="00AC4AA3" w:rsidRDefault="007D396D" w:rsidP="00AC4AA3">
      <w:pPr>
        <w:pStyle w:val="ListParagraph"/>
        <w:numPr>
          <w:ilvl w:val="0"/>
          <w:numId w:val="1"/>
        </w:numPr>
      </w:pPr>
      <w:r>
        <w:t>Re-evaluating all revenues while being cognizant of any legal, statutory, or governmental accounting standards regarding restrictions of use</w:t>
      </w:r>
      <w:r w:rsidR="00AC4AA3">
        <w:t>.</w:t>
      </w:r>
    </w:p>
    <w:p w14:paraId="07A21BB8" w14:textId="75F09A0C" w:rsidR="00AC4AA3" w:rsidRPr="00AC4AA3" w:rsidRDefault="00AC4AA3" w:rsidP="00AC4AA3">
      <w:pPr>
        <w:rPr>
          <w:b/>
          <w:bCs/>
          <w:u w:val="single"/>
        </w:rPr>
      </w:pPr>
      <w:hyperlink r:id="rId9" w:history="1">
        <w:r w:rsidR="001825AE">
          <w:rPr>
            <w:rStyle w:val="Hyperlink"/>
            <w:b/>
            <w:bCs/>
          </w:rPr>
          <w:t>Optional Budget Forms</w:t>
        </w:r>
        <w:r w:rsidR="0054042C">
          <w:rPr>
            <w:rStyle w:val="Hyperlink"/>
            <w:b/>
            <w:bCs/>
          </w:rPr>
          <w:t xml:space="preserve">, </w:t>
        </w:r>
        <w:r w:rsidRPr="00E6071B">
          <w:rPr>
            <w:rStyle w:val="Hyperlink"/>
            <w:b/>
            <w:bCs/>
          </w:rPr>
          <w:t>Supporting Schedule</w:t>
        </w:r>
        <w:r w:rsidR="0054042C">
          <w:rPr>
            <w:rStyle w:val="Hyperlink"/>
            <w:b/>
            <w:bCs/>
          </w:rPr>
          <w:t>s and Quarterly Report Form</w:t>
        </w:r>
        <w:r w:rsidRPr="00E6071B">
          <w:rPr>
            <w:rStyle w:val="Hyperlink"/>
            <w:b/>
            <w:bCs/>
          </w:rPr>
          <w:t>s</w:t>
        </w:r>
      </w:hyperlink>
    </w:p>
    <w:tbl>
      <w:tblPr>
        <w:tblW w:w="9792" w:type="dxa"/>
        <w:tblLook w:val="04A0" w:firstRow="1" w:lastRow="0" w:firstColumn="1" w:lastColumn="0" w:noHBand="0" w:noVBand="1"/>
      </w:tblPr>
      <w:tblGrid>
        <w:gridCol w:w="2335"/>
        <w:gridCol w:w="7457"/>
      </w:tblGrid>
      <w:tr w:rsidR="001825AE" w:rsidRPr="00852E76" w14:paraId="1D884A7C" w14:textId="77777777" w:rsidTr="001825AE">
        <w:trPr>
          <w:trHeight w:val="30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4D4F" w14:textId="77777777" w:rsidR="001825AE" w:rsidRDefault="001825AE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Excel Budget Forms</w:t>
            </w:r>
          </w:p>
          <w:p w14:paraId="46E62A0F" w14:textId="51EE992A" w:rsidR="000E306E" w:rsidRPr="00D51D88" w:rsidRDefault="000E306E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6C1D" w14:textId="6A4A6891" w:rsidR="001825AE" w:rsidRPr="00D51D88" w:rsidRDefault="001825AE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Special Districts not reporting on LGBMS may submit using either the </w:t>
            </w:r>
            <w:hyperlink r:id="rId10" w:history="1">
              <w:r w:rsidRPr="000E306E">
                <w:rPr>
                  <w:rStyle w:val="Hyperlink"/>
                  <w:rFonts w:eastAsia="Times New Roman"/>
                  <w:sz w:val="22"/>
                  <w:szCs w:val="22"/>
                </w:rPr>
                <w:t>fiscal year or calendar year standard Excel budget form</w:t>
              </w:r>
            </w:hyperlink>
            <w:r>
              <w:rPr>
                <w:rFonts w:eastAsia="Times New Roman"/>
                <w:color w:val="000000"/>
                <w:sz w:val="22"/>
                <w:szCs w:val="22"/>
              </w:rPr>
              <w:t xml:space="preserve"> only after consulting with </w:t>
            </w:r>
            <w:r w:rsidR="000E306E">
              <w:rPr>
                <w:rFonts w:eastAsia="Times New Roman"/>
                <w:color w:val="000000"/>
                <w:sz w:val="22"/>
                <w:szCs w:val="22"/>
              </w:rPr>
              <w:t xml:space="preserve">their 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assigned budget analyst. </w:t>
            </w:r>
          </w:p>
        </w:tc>
      </w:tr>
      <w:tr w:rsidR="000E306E" w:rsidRPr="00852E76" w14:paraId="3D8E35EE" w14:textId="77777777" w:rsidTr="001825AE">
        <w:trPr>
          <w:trHeight w:val="30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76A7" w14:textId="6CBDFDFA" w:rsidR="000E306E" w:rsidRPr="00D51D88" w:rsidRDefault="000E306E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Excel Quarterly Report Forms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5CF4A" w14:textId="3719EB98" w:rsidR="000E306E" w:rsidRPr="00D51D88" w:rsidRDefault="000E306E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Special Districts that have been allowed by their assigned budget analyst to submit their budget outside of LGBMS are required to submit their quarterly rep</w:t>
            </w:r>
            <w:r w:rsidR="0054042C">
              <w:rPr>
                <w:rFonts w:eastAsia="Times New Roman"/>
                <w:color w:val="000000"/>
                <w:sz w:val="22"/>
                <w:szCs w:val="22"/>
              </w:rPr>
              <w:t xml:space="preserve">orts on either the </w:t>
            </w:r>
            <w:hyperlink r:id="rId11" w:history="1">
              <w:r w:rsidR="0054042C" w:rsidRPr="0054042C">
                <w:rPr>
                  <w:rStyle w:val="Hyperlink"/>
                  <w:rFonts w:eastAsia="Times New Roman"/>
                  <w:sz w:val="22"/>
                  <w:szCs w:val="22"/>
                </w:rPr>
                <w:t>fiscal year or calendar year standard Excel quarterly report form</w:t>
              </w:r>
            </w:hyperlink>
            <w:r w:rsidR="0054042C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1825AE" w:rsidRPr="00852E76" w14:paraId="08D53287" w14:textId="77777777" w:rsidTr="001825AE">
        <w:trPr>
          <w:trHeight w:val="30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1BAAA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Property Tax Calculation Worksheet </w:t>
            </w:r>
          </w:p>
        </w:tc>
        <w:tc>
          <w:tcPr>
            <w:tcW w:w="7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2D1BE" w14:textId="4A9230AD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Calculates projected property tax revenue</w:t>
            </w:r>
            <w:r w:rsidR="001825AE">
              <w:rPr>
                <w:rFonts w:eastAsia="Times New Roman"/>
                <w:color w:val="000000"/>
                <w:sz w:val="22"/>
                <w:szCs w:val="22"/>
              </w:rPr>
              <w:t xml:space="preserve">, </w:t>
            </w:r>
            <w:r w:rsidR="001825AE" w:rsidRPr="001825AE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if applicable to your special district.</w:t>
            </w:r>
          </w:p>
        </w:tc>
      </w:tr>
      <w:tr w:rsidR="001825AE" w:rsidRPr="00852E76" w14:paraId="50535EE6" w14:textId="77777777" w:rsidTr="001825AE">
        <w:trPr>
          <w:trHeight w:val="306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29F9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Debt Schedule 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39DA" w14:textId="0CF70B85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>Lists all outstanding debt</w:t>
            </w:r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 xml:space="preserve"> (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loans, revenue &amp; general obligation </w:t>
            </w:r>
            <w:r w:rsidR="00E6071B" w:rsidRPr="00D51D88">
              <w:rPr>
                <w:rFonts w:eastAsia="Times New Roman"/>
                <w:color w:val="000000"/>
                <w:sz w:val="22"/>
                <w:szCs w:val="22"/>
              </w:rPr>
              <w:t>bonds</w:t>
            </w:r>
            <w:r w:rsidR="001825AE">
              <w:rPr>
                <w:rFonts w:eastAsia="Times New Roman"/>
                <w:color w:val="000000"/>
                <w:sz w:val="22"/>
                <w:szCs w:val="22"/>
              </w:rPr>
              <w:t xml:space="preserve">), </w:t>
            </w:r>
            <w:r w:rsidR="001825AE" w:rsidRPr="001825AE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if applicable to your special district</w:t>
            </w:r>
            <w:r w:rsidR="001825AE">
              <w:rPr>
                <w:rFonts w:eastAsia="Times New Roman"/>
                <w:color w:val="000000"/>
                <w:sz w:val="22"/>
                <w:szCs w:val="22"/>
              </w:rPr>
              <w:t xml:space="preserve">. </w:t>
            </w:r>
            <w:r w:rsidRPr="00D51D88">
              <w:rPr>
                <w:rFonts w:eastAsia="Times New Roman"/>
                <w:i/>
                <w:iCs/>
                <w:color w:val="E97132" w:themeColor="accent2"/>
                <w:sz w:val="22"/>
                <w:szCs w:val="22"/>
              </w:rPr>
              <w:t xml:space="preserve">Electronically in </w:t>
            </w:r>
            <w:r w:rsidR="00E6071B" w:rsidRPr="00D51D88">
              <w:rPr>
                <w:rFonts w:eastAsia="Times New Roman"/>
                <w:i/>
                <w:iCs/>
                <w:color w:val="E97132" w:themeColor="accent2"/>
                <w:sz w:val="22"/>
                <w:szCs w:val="22"/>
              </w:rPr>
              <w:t>LGBMS,</w:t>
            </w:r>
            <w:r w:rsidRPr="00D51D88">
              <w:rPr>
                <w:rFonts w:eastAsia="Times New Roman"/>
                <w:i/>
                <w:iCs/>
                <w:color w:val="E97132" w:themeColor="accent2"/>
                <w:sz w:val="22"/>
                <w:szCs w:val="22"/>
              </w:rPr>
              <w:t xml:space="preserve"> make sure it ties to your Amortization Schedules.</w:t>
            </w:r>
          </w:p>
        </w:tc>
      </w:tr>
      <w:tr w:rsidR="001825AE" w:rsidRPr="00852E76" w14:paraId="737FF36D" w14:textId="77777777" w:rsidTr="001825AE">
        <w:trPr>
          <w:trHeight w:val="8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7D64" w14:textId="77777777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S-5 (DETAIL OF NON-BUDGETED RESERVE REQUIREMENTS form) 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2504" w14:textId="351B1F26" w:rsidR="00AC4AA3" w:rsidRPr="00D51D88" w:rsidRDefault="00AC4AA3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Lists </w:t>
            </w:r>
            <w:r w:rsidR="001825AE">
              <w:rPr>
                <w:rFonts w:eastAsia="Times New Roman"/>
                <w:color w:val="000000"/>
                <w:sz w:val="22"/>
                <w:szCs w:val="22"/>
              </w:rPr>
              <w:t xml:space="preserve">locally imposed 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 xml:space="preserve">reserves </w:t>
            </w:r>
            <w:r w:rsidR="001825AE">
              <w:rPr>
                <w:rFonts w:eastAsia="Times New Roman"/>
                <w:color w:val="000000"/>
                <w:sz w:val="22"/>
                <w:szCs w:val="22"/>
              </w:rPr>
              <w:t xml:space="preserve">that 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>must tie to amounts reported in LGBMS under Object Code 10105 Locally Imposed Reserve</w:t>
            </w:r>
            <w:r w:rsidR="000E306E" w:rsidRPr="000E306E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</w:rPr>
              <w:t>, if applicable to your special district</w:t>
            </w:r>
            <w:r w:rsidRPr="00D51D88">
              <w:rPr>
                <w:rFonts w:eastAsia="Times New Roman"/>
                <w:color w:val="000000"/>
                <w:sz w:val="22"/>
                <w:szCs w:val="22"/>
              </w:rPr>
              <w:t>.</w:t>
            </w:r>
            <w:r w:rsidR="001825AE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  <w:r w:rsidR="001825AE" w:rsidRPr="001825AE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[There are no state required reserves for special districts.]</w:t>
            </w:r>
          </w:p>
        </w:tc>
      </w:tr>
      <w:tr w:rsidR="001825AE" w:rsidRPr="00852E76" w14:paraId="776D5444" w14:textId="77777777" w:rsidTr="001825AE">
        <w:trPr>
          <w:trHeight w:val="538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59D7" w14:textId="78478A70" w:rsidR="00AC4AA3" w:rsidRPr="00D51D88" w:rsidRDefault="005F3166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Balance Sheet and Bank Statements</w:t>
            </w:r>
            <w:r w:rsidR="00AC4AA3" w:rsidRPr="00D51D88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5D48" w14:textId="1859E762" w:rsidR="00AC4AA3" w:rsidRPr="00D51D88" w:rsidRDefault="005F3166" w:rsidP="0065540A">
            <w:pPr>
              <w:spacing w:line="240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A June 30</w:t>
            </w:r>
            <w:r w:rsidRPr="005F3166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balance sheet or profit and loss statement along with bank statements as of June 30</w:t>
            </w:r>
            <w:r w:rsidRPr="005F3166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are required to be submitted with the 4</w:t>
            </w:r>
            <w:r w:rsidRPr="005F3166">
              <w:rPr>
                <w:rFonts w:eastAsia="Times New Roman"/>
                <w:color w:val="000000"/>
                <w:sz w:val="22"/>
                <w:szCs w:val="22"/>
                <w:vertAlign w:val="superscript"/>
              </w:rPr>
              <w:t>th</w:t>
            </w:r>
            <w:r>
              <w:rPr>
                <w:rFonts w:eastAsia="Times New Roman"/>
                <w:color w:val="000000"/>
                <w:sz w:val="22"/>
                <w:szCs w:val="22"/>
              </w:rPr>
              <w:t xml:space="preserve"> Quarter report</w:t>
            </w:r>
            <w:r w:rsidR="00AC4AA3" w:rsidRPr="00D51D88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</w:tbl>
    <w:p w14:paraId="5E99471F" w14:textId="77777777" w:rsidR="005F3166" w:rsidRDefault="005F3166" w:rsidP="00AC4AA3">
      <w:pPr>
        <w:rPr>
          <w:b/>
          <w:bCs/>
          <w:u w:val="single"/>
        </w:rPr>
      </w:pPr>
    </w:p>
    <w:p w14:paraId="754573DE" w14:textId="77777777" w:rsidR="005F3166" w:rsidRDefault="005F3166" w:rsidP="00AC4AA3">
      <w:pPr>
        <w:rPr>
          <w:b/>
          <w:bCs/>
          <w:u w:val="single"/>
        </w:rPr>
      </w:pPr>
    </w:p>
    <w:p w14:paraId="46D5803A" w14:textId="394A5FAE" w:rsidR="000F0B17" w:rsidRDefault="000F0B17" w:rsidP="00AC4AA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LGBMS Generated Budget Recapitulation (Recap)</w:t>
      </w:r>
    </w:p>
    <w:p w14:paraId="0834BB99" w14:textId="129CD2C3" w:rsidR="000F0B17" w:rsidRPr="000F0B17" w:rsidRDefault="000F0B17" w:rsidP="000F0B1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 w:rsidRPr="000F0B17">
        <w:rPr>
          <w:i/>
          <w:iCs/>
          <w:u w:val="single"/>
        </w:rPr>
        <w:t>Beginning cash</w:t>
      </w:r>
      <w:r>
        <w:t xml:space="preserve"> on recap page </w:t>
      </w:r>
      <w:r w:rsidRPr="000F0B17">
        <w:rPr>
          <w:color w:val="E97132" w:themeColor="accent2"/>
        </w:rPr>
        <w:t>must tie to the</w:t>
      </w:r>
      <w:r>
        <w:rPr>
          <w:color w:val="E97132" w:themeColor="accent2"/>
        </w:rPr>
        <w:t xml:space="preserve"> prior year’s</w:t>
      </w:r>
      <w:r w:rsidRPr="000F0B17">
        <w:rPr>
          <w:color w:val="E97132" w:themeColor="accent2"/>
        </w:rPr>
        <w:t xml:space="preserve"> 4</w:t>
      </w:r>
      <w:r w:rsidRPr="000F0B17">
        <w:rPr>
          <w:color w:val="E97132" w:themeColor="accent2"/>
          <w:vertAlign w:val="superscript"/>
        </w:rPr>
        <w:t>th</w:t>
      </w:r>
      <w:r w:rsidRPr="000F0B17">
        <w:rPr>
          <w:color w:val="E97132" w:themeColor="accent2"/>
        </w:rPr>
        <w:t xml:space="preserve"> quarter report ending cash</w:t>
      </w:r>
      <w:r>
        <w:t xml:space="preserve"> (before reserves)</w:t>
      </w:r>
    </w:p>
    <w:p w14:paraId="1877D999" w14:textId="0CE446B0" w:rsidR="000F0B17" w:rsidRPr="000F0B17" w:rsidRDefault="000F0B17" w:rsidP="000F0B1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i/>
          <w:iCs/>
          <w:u w:val="single"/>
        </w:rPr>
        <w:t xml:space="preserve">Investments </w:t>
      </w:r>
      <w:r w:rsidRPr="000F0B17">
        <w:rPr>
          <w:color w:val="E97132" w:themeColor="accent2"/>
        </w:rPr>
        <w:t xml:space="preserve">must be reported in the </w:t>
      </w:r>
      <w:r>
        <w:rPr>
          <w:color w:val="E97132" w:themeColor="accent2"/>
        </w:rPr>
        <w:t>“</w:t>
      </w:r>
      <w:r w:rsidRPr="000F0B17">
        <w:rPr>
          <w:color w:val="E97132" w:themeColor="accent2"/>
        </w:rPr>
        <w:t>investments</w:t>
      </w:r>
      <w:r>
        <w:rPr>
          <w:color w:val="E97132" w:themeColor="accent2"/>
        </w:rPr>
        <w:t>”</w:t>
      </w:r>
      <w:r w:rsidRPr="000F0B17">
        <w:rPr>
          <w:color w:val="E97132" w:themeColor="accent2"/>
        </w:rPr>
        <w:t xml:space="preserve"> column</w:t>
      </w:r>
    </w:p>
    <w:p w14:paraId="4B4518B6" w14:textId="57FF0749" w:rsidR="000F0B17" w:rsidRPr="000F0B17" w:rsidRDefault="000F0B17" w:rsidP="000F0B1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i/>
          <w:iCs/>
          <w:u w:val="single"/>
        </w:rPr>
        <w:t xml:space="preserve">Total Transfers </w:t>
      </w:r>
      <w:r w:rsidRPr="000F0B17">
        <w:rPr>
          <w:color w:val="E97132" w:themeColor="accent2"/>
        </w:rPr>
        <w:t>must always be equal to zero</w:t>
      </w:r>
      <w:r>
        <w:t xml:space="preserve"> (LGBMS will flag as an error)</w:t>
      </w:r>
    </w:p>
    <w:p w14:paraId="4361604A" w14:textId="0C4C83E8" w:rsidR="000F0B17" w:rsidRPr="000F0B17" w:rsidRDefault="000F0B17" w:rsidP="000F0B17">
      <w:pPr>
        <w:pStyle w:val="ListParagraph"/>
        <w:numPr>
          <w:ilvl w:val="0"/>
          <w:numId w:val="2"/>
        </w:numPr>
        <w:rPr>
          <w:b/>
          <w:bCs/>
          <w:u w:val="single"/>
        </w:rPr>
      </w:pPr>
      <w:r>
        <w:rPr>
          <w:i/>
          <w:iCs/>
          <w:u w:val="single"/>
        </w:rPr>
        <w:t>Adjusted Ending Cash balances</w:t>
      </w:r>
      <w:r>
        <w:t xml:space="preserve"> of any Fund </w:t>
      </w:r>
      <w:r w:rsidRPr="000F0B17">
        <w:rPr>
          <w:color w:val="E97132" w:themeColor="accent2"/>
        </w:rPr>
        <w:t>cannot be negative</w:t>
      </w:r>
      <w:r>
        <w:rPr>
          <w:color w:val="E97132" w:themeColor="accent2"/>
        </w:rPr>
        <w:t xml:space="preserve">, </w:t>
      </w:r>
      <w:r>
        <w:t>including Funds that are awaiting grant reimbursements (LGBMS will flag as an error)</w:t>
      </w:r>
    </w:p>
    <w:p w14:paraId="7121CDD1" w14:textId="6C3D95EE" w:rsidR="00D51D88" w:rsidRPr="00D51D88" w:rsidRDefault="00D51D88" w:rsidP="00D51D88">
      <w:pPr>
        <w:rPr>
          <w:b/>
          <w:bCs/>
          <w:u w:val="single"/>
        </w:rPr>
      </w:pPr>
      <w:r w:rsidRPr="00D51D88">
        <w:rPr>
          <w:b/>
          <w:bCs/>
          <w:u w:val="single"/>
        </w:rPr>
        <w:t>Salary Increases</w:t>
      </w:r>
    </w:p>
    <w:p w14:paraId="73AF14C2" w14:textId="6E433C59" w:rsidR="00041A89" w:rsidRDefault="00D51D88" w:rsidP="00D51D88">
      <w:r w:rsidRPr="00D51D88">
        <w:t>One- time temporary salary increases (known as bonuses) are not allowed</w:t>
      </w:r>
      <w:r>
        <w:t xml:space="preserve"> (</w:t>
      </w:r>
      <w:hyperlink r:id="rId12" w:history="1">
        <w:r w:rsidRPr="00D51D88">
          <w:rPr>
            <w:rStyle w:val="Hyperlink"/>
          </w:rPr>
          <w:t>see "July 2, 2008 Memo Performance Bonuses, Retroactive Pay Increases and Bonuses In Lieu of Pay Increases" memo</w:t>
        </w:r>
      </w:hyperlink>
      <w:r>
        <w:t>.)</w:t>
      </w:r>
    </w:p>
    <w:p w14:paraId="0B300604" w14:textId="77777777" w:rsidR="006205FA" w:rsidRPr="00D51D88" w:rsidRDefault="006205FA" w:rsidP="00D51D88"/>
    <w:sectPr w:rsidR="006205FA" w:rsidRPr="00D51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5EC"/>
    <w:multiLevelType w:val="hybridMultilevel"/>
    <w:tmpl w:val="49ACD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B12E9"/>
    <w:multiLevelType w:val="hybridMultilevel"/>
    <w:tmpl w:val="74BA9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13373"/>
    <w:multiLevelType w:val="hybridMultilevel"/>
    <w:tmpl w:val="0122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015E0"/>
    <w:multiLevelType w:val="hybridMultilevel"/>
    <w:tmpl w:val="C50E23C2"/>
    <w:lvl w:ilvl="0" w:tplc="F96085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41339">
    <w:abstractNumId w:val="2"/>
  </w:num>
  <w:num w:numId="2" w16cid:durableId="1183133539">
    <w:abstractNumId w:val="1"/>
  </w:num>
  <w:num w:numId="3" w16cid:durableId="914170715">
    <w:abstractNumId w:val="0"/>
  </w:num>
  <w:num w:numId="4" w16cid:durableId="127404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3D4"/>
    <w:rsid w:val="00041A89"/>
    <w:rsid w:val="000E306E"/>
    <w:rsid w:val="000F0B17"/>
    <w:rsid w:val="001825AE"/>
    <w:rsid w:val="004174AF"/>
    <w:rsid w:val="0054042C"/>
    <w:rsid w:val="005F3166"/>
    <w:rsid w:val="006205FA"/>
    <w:rsid w:val="006E7317"/>
    <w:rsid w:val="007865EC"/>
    <w:rsid w:val="007D396D"/>
    <w:rsid w:val="00914681"/>
    <w:rsid w:val="00A2629A"/>
    <w:rsid w:val="00AC4AA3"/>
    <w:rsid w:val="00D108F4"/>
    <w:rsid w:val="00D173D4"/>
    <w:rsid w:val="00D51D88"/>
    <w:rsid w:val="00E6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D35EF"/>
  <w15:chartTrackingRefBased/>
  <w15:docId w15:val="{EC051D64-3C67-4C4F-B93C-8D956593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7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3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4A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4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mdfa.state.nm.us/local-government/budget-finance-bureau/lgbms/" TargetMode="External"/><Relationship Id="rId12" Type="http://schemas.openxmlformats.org/officeDocument/2006/relationships/hyperlink" Target="https://www.nmdfa.state.nm.us/local-government/budget-finance-bureau/budget-memo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mdfa.state.nm.us/local-government/budget-finance-bureau/budget-forms/" TargetMode="External"/><Relationship Id="rId11" Type="http://schemas.openxmlformats.org/officeDocument/2006/relationships/hyperlink" Target="https://www.nmdfa.state.nm.us/local-government/budget-finance-bureau/budget-forms/" TargetMode="External"/><Relationship Id="rId5" Type="http://schemas.openxmlformats.org/officeDocument/2006/relationships/hyperlink" Target="https://www.nmdfa.state.nm.us/local-government/budget-finance-bureau/lgbms" TargetMode="External"/><Relationship Id="rId10" Type="http://schemas.openxmlformats.org/officeDocument/2006/relationships/hyperlink" Target="https://www.nmdfa.state.nm.us/local-government/budget-finance-bureau/budget-fo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mdfa.state.nm.us/local-government/budget-finance-bureau/budget-form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740</Words>
  <Characters>4366</Characters>
  <Application>Microsoft Office Word</Application>
  <DocSecurity>0</DocSecurity>
  <Lines>101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Suazo-Giles, Brenda, DFA</dc:creator>
  <cp:keywords/>
  <dc:description/>
  <cp:lastModifiedBy>Suazo-Giles, Brenda, DFA</cp:lastModifiedBy>
  <cp:revision>5</cp:revision>
  <dcterms:created xsi:type="dcterms:W3CDTF">2026-03-10T19:03:00Z</dcterms:created>
  <dcterms:modified xsi:type="dcterms:W3CDTF">2026-03-10T21:19:00Z</dcterms:modified>
</cp:coreProperties>
</file>