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1D1C0" w14:textId="6F0F3BF9" w:rsidR="0062070E" w:rsidRPr="0062070E" w:rsidRDefault="0062070E" w:rsidP="0062070E">
      <w:pPr>
        <w:jc w:val="right"/>
        <w:rPr>
          <w:b/>
          <w:sz w:val="28"/>
          <w:szCs w:val="28"/>
        </w:rPr>
      </w:pPr>
      <w:r w:rsidRPr="0062070E">
        <w:rPr>
          <w:b/>
          <w:sz w:val="28"/>
          <w:szCs w:val="28"/>
        </w:rPr>
        <w:t>November 202</w:t>
      </w:r>
      <w:r w:rsidR="0088544F">
        <w:rPr>
          <w:b/>
          <w:sz w:val="28"/>
          <w:szCs w:val="28"/>
        </w:rPr>
        <w:t>1</w:t>
      </w:r>
      <w:r w:rsidRPr="0062070E">
        <w:rPr>
          <w:b/>
          <w:sz w:val="28"/>
          <w:szCs w:val="28"/>
        </w:rPr>
        <w:t xml:space="preserve"> Budget Conference - Frequently Asked Questions (FAQ)</w:t>
      </w:r>
    </w:p>
    <w:p w14:paraId="70089C06" w14:textId="77777777" w:rsidR="006B5D11" w:rsidRPr="008D6839" w:rsidRDefault="0062070E" w:rsidP="006B5D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Training Session:  </w:t>
      </w:r>
      <w:r w:rsidR="008D6839" w:rsidRPr="001818FC">
        <w:rPr>
          <w:b/>
          <w:i/>
          <w:sz w:val="28"/>
          <w:szCs w:val="28"/>
        </w:rPr>
        <w:t>Financial Reporting for Count</w:t>
      </w:r>
      <w:r w:rsidRPr="001818FC">
        <w:rPr>
          <w:b/>
          <w:i/>
          <w:sz w:val="28"/>
          <w:szCs w:val="28"/>
        </w:rPr>
        <w:t>ies</w:t>
      </w:r>
      <w:r w:rsidR="008D6839" w:rsidRPr="001818FC">
        <w:rPr>
          <w:b/>
          <w:i/>
          <w:sz w:val="28"/>
          <w:szCs w:val="28"/>
        </w:rPr>
        <w:t xml:space="preserve"> and Municipalities</w:t>
      </w:r>
    </w:p>
    <w:p w14:paraId="155673F7" w14:textId="77777777" w:rsidR="006B5D11" w:rsidRPr="004F42BE" w:rsidRDefault="006B5D11" w:rsidP="004F42BE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4F42BE">
        <w:rPr>
          <w:b/>
          <w:color w:val="2F5496" w:themeColor="accent5" w:themeShade="BF"/>
        </w:rPr>
        <w:t>If an elected official is not up for re-election, can they spend more than 50% of their budget before December?</w:t>
      </w:r>
    </w:p>
    <w:p w14:paraId="30AB7FDB" w14:textId="77777777" w:rsidR="006B5D11" w:rsidRPr="008D6839" w:rsidRDefault="004F42BE" w:rsidP="006B5D11">
      <w:r>
        <w:tab/>
      </w:r>
      <w:r w:rsidR="006B5D11" w:rsidRPr="008D6839">
        <w:t>A:  Yes, this requirement only applies to an election year.</w:t>
      </w:r>
    </w:p>
    <w:p w14:paraId="3E54C615" w14:textId="77777777" w:rsidR="006B5D11" w:rsidRPr="004F42BE" w:rsidRDefault="00E55E5D" w:rsidP="004F42BE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4F42BE">
        <w:rPr>
          <w:b/>
          <w:color w:val="2F5496" w:themeColor="accent5" w:themeShade="BF"/>
        </w:rPr>
        <w:t>W</w:t>
      </w:r>
      <w:r w:rsidR="006B5D11" w:rsidRPr="004F42BE">
        <w:rPr>
          <w:b/>
          <w:color w:val="2F5496" w:themeColor="accent5" w:themeShade="BF"/>
        </w:rPr>
        <w:t xml:space="preserve">hen we are reporting actuals, do we round to the nearest dollar or state the exact amount including the cents? </w:t>
      </w:r>
    </w:p>
    <w:p w14:paraId="553FDF15" w14:textId="77777777" w:rsidR="006B5D11" w:rsidRPr="008D6839" w:rsidRDefault="004F42BE" w:rsidP="006B5D11">
      <w:r>
        <w:tab/>
      </w:r>
      <w:r w:rsidR="006B5D11" w:rsidRPr="008D6839">
        <w:t xml:space="preserve">A:  </w:t>
      </w:r>
      <w:r w:rsidR="00E55E5D" w:rsidRPr="008D6839">
        <w:t>A</w:t>
      </w:r>
      <w:r w:rsidR="006B5D11" w:rsidRPr="008D6839">
        <w:t>ctuals are year-to-date and should be reported with cents.</w:t>
      </w:r>
    </w:p>
    <w:p w14:paraId="0E5DFF19" w14:textId="77777777" w:rsidR="006B5D11" w:rsidRPr="004F42BE" w:rsidRDefault="006B5D11" w:rsidP="004F42BE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4F42BE">
        <w:rPr>
          <w:b/>
          <w:color w:val="2F5496" w:themeColor="accent5" w:themeShade="BF"/>
        </w:rPr>
        <w:t>Does our Governing Body need to approve temporary loans?</w:t>
      </w:r>
    </w:p>
    <w:p w14:paraId="47102D16" w14:textId="77777777" w:rsidR="006B5D11" w:rsidRPr="008D6839" w:rsidRDefault="004F42BE" w:rsidP="006B5D11">
      <w:r>
        <w:tab/>
      </w:r>
      <w:r w:rsidR="006B5D11" w:rsidRPr="008D6839">
        <w:t xml:space="preserve">A:  Yes, if money is being moved from one Fund to another Fund.  </w:t>
      </w:r>
      <w:r w:rsidR="0062070E">
        <w:t xml:space="preserve">Best practice is for Local BARs </w:t>
      </w:r>
      <w:r w:rsidR="006B5D11" w:rsidRPr="008D6839">
        <w:t>for Q1, Q2,</w:t>
      </w:r>
      <w:r w:rsidR="00E55E5D" w:rsidRPr="008D6839">
        <w:t xml:space="preserve"> and</w:t>
      </w:r>
      <w:r w:rsidR="006B5D11" w:rsidRPr="008D6839">
        <w:t xml:space="preserve"> Q3 to </w:t>
      </w:r>
      <w:r w:rsidR="00E55E5D" w:rsidRPr="008D6839">
        <w:t xml:space="preserve">be placed on the </w:t>
      </w:r>
      <w:r w:rsidR="006B5D11" w:rsidRPr="008D6839">
        <w:t>agenda</w:t>
      </w:r>
      <w:r w:rsidR="00E55E5D" w:rsidRPr="008D6839">
        <w:t xml:space="preserve"> as an informational</w:t>
      </w:r>
      <w:r w:rsidR="006B5D11" w:rsidRPr="008D6839">
        <w:t xml:space="preserve"> item on governing body monthly meeting</w:t>
      </w:r>
      <w:r w:rsidR="00E55E5D" w:rsidRPr="008D6839">
        <w:t>s</w:t>
      </w:r>
      <w:r w:rsidR="006B5D11" w:rsidRPr="008D6839">
        <w:t>.</w:t>
      </w:r>
      <w:r w:rsidR="00E55E5D" w:rsidRPr="008D6839">
        <w:t xml:space="preserve"> Temp</w:t>
      </w:r>
      <w:r w:rsidR="0062070E">
        <w:t>orary loans</w:t>
      </w:r>
      <w:r w:rsidR="00E55E5D" w:rsidRPr="008D6839">
        <w:t xml:space="preserve"> are identified in the adjustment column of the </w:t>
      </w:r>
      <w:r w:rsidR="0062070E">
        <w:t>Quarterly R</w:t>
      </w:r>
      <w:r w:rsidR="00E55E5D" w:rsidRPr="008D6839">
        <w:t xml:space="preserve">ecap report by using </w:t>
      </w:r>
      <w:r w:rsidR="0062070E">
        <w:t>the “</w:t>
      </w:r>
      <w:r w:rsidR="00E55E5D" w:rsidRPr="008D6839">
        <w:t>receivables</w:t>
      </w:r>
      <w:r w:rsidR="0062070E">
        <w:t>” and/or “</w:t>
      </w:r>
      <w:r w:rsidR="00E55E5D" w:rsidRPr="008D6839">
        <w:t>payables</w:t>
      </w:r>
      <w:r w:rsidR="0062070E">
        <w:t>” line items</w:t>
      </w:r>
      <w:r w:rsidR="00E55E5D" w:rsidRPr="008D6839">
        <w:t xml:space="preserve">. The </w:t>
      </w:r>
      <w:r w:rsidR="0062070E">
        <w:t>“</w:t>
      </w:r>
      <w:r w:rsidR="00E55E5D" w:rsidRPr="008D6839">
        <w:t xml:space="preserve">Financial </w:t>
      </w:r>
      <w:r w:rsidR="0062070E">
        <w:t xml:space="preserve">Report </w:t>
      </w:r>
      <w:r w:rsidR="00E55E5D" w:rsidRPr="008D6839">
        <w:t>Adjustment Schedule</w:t>
      </w:r>
      <w:r w:rsidR="0062070E">
        <w:t xml:space="preserve">” (found on this link: </w:t>
      </w:r>
      <w:hyperlink r:id="rId5" w:history="1">
        <w:r w:rsidR="007D6251" w:rsidRPr="007D6251">
          <w:rPr>
            <w:rStyle w:val="Hyperlink"/>
          </w:rPr>
          <w:t>Budget Forms Webpage</w:t>
        </w:r>
      </w:hyperlink>
      <w:r w:rsidR="007D6251">
        <w:t>)</w:t>
      </w:r>
      <w:r w:rsidR="00E55E5D" w:rsidRPr="008D6839">
        <w:t xml:space="preserve"> must be submitted </w:t>
      </w:r>
      <w:r w:rsidR="0062070E">
        <w:t xml:space="preserve">under the “files” section on LGBMS </w:t>
      </w:r>
      <w:r w:rsidR="00E55E5D" w:rsidRPr="008D6839">
        <w:t xml:space="preserve">as a supporting document </w:t>
      </w:r>
      <w:r w:rsidR="0062070E">
        <w:t xml:space="preserve">to the quarterly financial report </w:t>
      </w:r>
      <w:r w:rsidR="00E55E5D" w:rsidRPr="008D6839">
        <w:t xml:space="preserve">and must reconcile to the </w:t>
      </w:r>
      <w:r w:rsidR="0062070E">
        <w:t xml:space="preserve">Quarterly Recap </w:t>
      </w:r>
      <w:r w:rsidR="00E55E5D" w:rsidRPr="008D6839">
        <w:t>report.</w:t>
      </w:r>
    </w:p>
    <w:p w14:paraId="529E7803" w14:textId="77777777" w:rsidR="006B5D11" w:rsidRPr="004F42BE" w:rsidRDefault="006B5D11" w:rsidP="004F42BE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4F42BE">
        <w:rPr>
          <w:b/>
          <w:color w:val="2F5496" w:themeColor="accent5" w:themeShade="BF"/>
        </w:rPr>
        <w:t>Are non-cash items like depreciation expense included when calculating Fund balance?</w:t>
      </w:r>
    </w:p>
    <w:p w14:paraId="246EEED2" w14:textId="77777777" w:rsidR="006B5D11" w:rsidRPr="008D6839" w:rsidRDefault="004F42BE" w:rsidP="006B5D11">
      <w:r>
        <w:tab/>
      </w:r>
      <w:r w:rsidR="006B5D11" w:rsidRPr="008D6839">
        <w:t xml:space="preserve">A:  No, depreciation expense is not required to be included in </w:t>
      </w:r>
      <w:r w:rsidR="007D6251">
        <w:t xml:space="preserve">the </w:t>
      </w:r>
      <w:r w:rsidR="006B5D11" w:rsidRPr="008D6839">
        <w:t>quarterly report.  Year-to-date actu</w:t>
      </w:r>
      <w:r w:rsidR="00E55E5D" w:rsidRPr="008D6839">
        <w:t xml:space="preserve">als are </w:t>
      </w:r>
      <w:r w:rsidR="007D6251">
        <w:t xml:space="preserve">on a </w:t>
      </w:r>
      <w:r w:rsidR="00E55E5D" w:rsidRPr="008D6839">
        <w:t xml:space="preserve">cash accounting </w:t>
      </w:r>
      <w:r w:rsidR="007D6251">
        <w:t xml:space="preserve">basis </w:t>
      </w:r>
      <w:r w:rsidR="00E55E5D" w:rsidRPr="008D6839">
        <w:t>and not accrual accounting</w:t>
      </w:r>
      <w:r w:rsidR="007D6251">
        <w:t xml:space="preserve"> basis</w:t>
      </w:r>
      <w:r w:rsidR="00E55E5D" w:rsidRPr="008D6839">
        <w:t>.</w:t>
      </w:r>
    </w:p>
    <w:p w14:paraId="4ECCBF10" w14:textId="77777777" w:rsidR="006B5D11" w:rsidRPr="004F42BE" w:rsidRDefault="00E55E5D" w:rsidP="004F42BE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4F42BE">
        <w:rPr>
          <w:b/>
          <w:color w:val="2F5496" w:themeColor="accent5" w:themeShade="BF"/>
        </w:rPr>
        <w:t xml:space="preserve">Should we process </w:t>
      </w:r>
      <w:r w:rsidR="006B5D11" w:rsidRPr="004F42BE">
        <w:rPr>
          <w:b/>
          <w:color w:val="2F5496" w:themeColor="accent5" w:themeShade="BF"/>
        </w:rPr>
        <w:t xml:space="preserve">a BAR to adjust REVENUES if they went over the </w:t>
      </w:r>
      <w:r w:rsidRPr="004F42BE">
        <w:rPr>
          <w:b/>
          <w:color w:val="2F5496" w:themeColor="accent5" w:themeShade="BF"/>
        </w:rPr>
        <w:t>forecasted</w:t>
      </w:r>
      <w:r w:rsidR="006B5D11" w:rsidRPr="004F42BE">
        <w:rPr>
          <w:b/>
          <w:color w:val="2F5496" w:themeColor="accent5" w:themeShade="BF"/>
        </w:rPr>
        <w:t>/</w:t>
      </w:r>
      <w:r w:rsidRPr="004F42BE">
        <w:rPr>
          <w:b/>
          <w:color w:val="2F5496" w:themeColor="accent5" w:themeShade="BF"/>
        </w:rPr>
        <w:t>budgeted</w:t>
      </w:r>
      <w:r w:rsidR="006B5D11" w:rsidRPr="004F42BE">
        <w:rPr>
          <w:b/>
          <w:color w:val="2F5496" w:themeColor="accent5" w:themeShade="BF"/>
        </w:rPr>
        <w:t xml:space="preserve"> amount?</w:t>
      </w:r>
    </w:p>
    <w:p w14:paraId="1FCA9B50" w14:textId="77777777" w:rsidR="006B5D11" w:rsidRPr="008D6839" w:rsidRDefault="004F42BE" w:rsidP="006B5D11">
      <w:r>
        <w:tab/>
      </w:r>
      <w:r w:rsidR="006B5D11" w:rsidRPr="008D6839">
        <w:t>A:  Yes, it is highly recommended</w:t>
      </w:r>
      <w:r w:rsidR="007D6251">
        <w:t>, but not required</w:t>
      </w:r>
      <w:r w:rsidR="006B5D11" w:rsidRPr="008D6839">
        <w:t xml:space="preserve">.  Best practice is to align LGBMS budget with </w:t>
      </w:r>
      <w:r w:rsidR="00E55E5D" w:rsidRPr="008D6839">
        <w:t>your internal accounting system</w:t>
      </w:r>
      <w:r w:rsidR="006B5D11" w:rsidRPr="008D6839">
        <w:t xml:space="preserve">. </w:t>
      </w:r>
      <w:r w:rsidR="00E55E5D" w:rsidRPr="008D6839">
        <w:t>If you do not process a BAR to increase the revenue, i</w:t>
      </w:r>
      <w:r w:rsidR="006B5D11" w:rsidRPr="008D6839">
        <w:t>t won’t be an audit finding.</w:t>
      </w:r>
    </w:p>
    <w:p w14:paraId="3AB4FF04" w14:textId="77777777" w:rsidR="006B5D11" w:rsidRPr="004F42BE" w:rsidRDefault="006B5D11" w:rsidP="004F42BE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4F42BE">
        <w:rPr>
          <w:b/>
          <w:color w:val="2F5496" w:themeColor="accent5" w:themeShade="BF"/>
        </w:rPr>
        <w:t>Where would any adjustment requests from the auditors go?</w:t>
      </w:r>
    </w:p>
    <w:p w14:paraId="4CA803B6" w14:textId="77777777" w:rsidR="006B5D11" w:rsidRPr="008D6839" w:rsidRDefault="004F42BE" w:rsidP="006B5D11">
      <w:r>
        <w:tab/>
      </w:r>
      <w:r w:rsidR="006B5D11" w:rsidRPr="008D6839">
        <w:t xml:space="preserve">A:  Same </w:t>
      </w:r>
      <w:r w:rsidR="00E55E5D" w:rsidRPr="008D6839">
        <w:t xml:space="preserve">process </w:t>
      </w:r>
      <w:r w:rsidR="006B5D11" w:rsidRPr="008D6839">
        <w:t xml:space="preserve">as moving investments to cash balance.  </w:t>
      </w:r>
      <w:r w:rsidR="00E55E5D" w:rsidRPr="008D6839">
        <w:t>Please refer to the</w:t>
      </w:r>
      <w:r w:rsidR="006B5D11" w:rsidRPr="008D6839">
        <w:t xml:space="preserve"> last page of FAQ posted on </w:t>
      </w:r>
      <w:r w:rsidR="00150DFC" w:rsidRPr="008D6839">
        <w:t xml:space="preserve">the </w:t>
      </w:r>
      <w:r w:rsidR="006B5D11" w:rsidRPr="008D6839">
        <w:t>LGBMS webpage</w:t>
      </w:r>
      <w:r w:rsidR="007D6251">
        <w:t xml:space="preserve"> (found on this link: </w:t>
      </w:r>
      <w:hyperlink r:id="rId6" w:history="1">
        <w:r w:rsidR="007D6251" w:rsidRPr="007D6251">
          <w:rPr>
            <w:rStyle w:val="Hyperlink"/>
          </w:rPr>
          <w:t>LGBMS Webpage</w:t>
        </w:r>
      </w:hyperlink>
      <w:r w:rsidR="007D6251">
        <w:t>)</w:t>
      </w:r>
      <w:r w:rsidR="006B5D11" w:rsidRPr="008D6839">
        <w:t>.  Obtain audit documents from your independent auditor so you can go and enter “adjustments” on LGBMS</w:t>
      </w:r>
      <w:r w:rsidR="008A502F">
        <w:t xml:space="preserve"> and make sure that all audit adjustments are also entered into your internal accounting system</w:t>
      </w:r>
      <w:r w:rsidR="006B5D11" w:rsidRPr="008D6839">
        <w:t>.</w:t>
      </w:r>
    </w:p>
    <w:p w14:paraId="64A32CFD" w14:textId="77777777" w:rsidR="006B5D11" w:rsidRPr="004F42BE" w:rsidRDefault="006363B0" w:rsidP="004F42BE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4F42BE">
        <w:rPr>
          <w:b/>
          <w:color w:val="2F5496" w:themeColor="accent5" w:themeShade="BF"/>
        </w:rPr>
        <w:t>W</w:t>
      </w:r>
      <w:r w:rsidR="006B5D11" w:rsidRPr="004F42BE">
        <w:rPr>
          <w:b/>
          <w:color w:val="2F5496" w:themeColor="accent5" w:themeShade="BF"/>
        </w:rPr>
        <w:t xml:space="preserve">hen you upload </w:t>
      </w:r>
      <w:r w:rsidR="00150DFC" w:rsidRPr="004F42BE">
        <w:rPr>
          <w:b/>
          <w:color w:val="2F5496" w:themeColor="accent5" w:themeShade="BF"/>
        </w:rPr>
        <w:t xml:space="preserve">a </w:t>
      </w:r>
      <w:r w:rsidR="006B5D11" w:rsidRPr="004F42BE">
        <w:rPr>
          <w:b/>
          <w:color w:val="2F5496" w:themeColor="accent5" w:themeShade="BF"/>
        </w:rPr>
        <w:t xml:space="preserve">negative </w:t>
      </w:r>
      <w:r w:rsidR="00150DFC" w:rsidRPr="004F42BE">
        <w:rPr>
          <w:b/>
          <w:color w:val="2F5496" w:themeColor="accent5" w:themeShade="BF"/>
        </w:rPr>
        <w:t xml:space="preserve">amount </w:t>
      </w:r>
      <w:r w:rsidR="006B5D11" w:rsidRPr="004F42BE">
        <w:rPr>
          <w:b/>
          <w:color w:val="2F5496" w:themeColor="accent5" w:themeShade="BF"/>
        </w:rPr>
        <w:t xml:space="preserve">in </w:t>
      </w:r>
      <w:r w:rsidR="008A502F" w:rsidRPr="004F42BE">
        <w:rPr>
          <w:b/>
          <w:color w:val="2F5496" w:themeColor="accent5" w:themeShade="BF"/>
        </w:rPr>
        <w:t>the “</w:t>
      </w:r>
      <w:r w:rsidR="006B5D11" w:rsidRPr="004F42BE">
        <w:rPr>
          <w:b/>
          <w:color w:val="2F5496" w:themeColor="accent5" w:themeShade="BF"/>
        </w:rPr>
        <w:t>csv</w:t>
      </w:r>
      <w:r w:rsidR="008A502F" w:rsidRPr="004F42BE">
        <w:rPr>
          <w:b/>
          <w:color w:val="2F5496" w:themeColor="accent5" w:themeShade="BF"/>
        </w:rPr>
        <w:t xml:space="preserve">” upload file </w:t>
      </w:r>
      <w:r w:rsidR="006B5D11" w:rsidRPr="004F42BE">
        <w:rPr>
          <w:b/>
          <w:color w:val="2F5496" w:themeColor="accent5" w:themeShade="BF"/>
        </w:rPr>
        <w:t>it comes over into LGBMS as a positive.... so manual adjust</w:t>
      </w:r>
      <w:r w:rsidRPr="004F42BE">
        <w:rPr>
          <w:b/>
          <w:color w:val="2F5496" w:themeColor="accent5" w:themeShade="BF"/>
        </w:rPr>
        <w:t>?</w:t>
      </w:r>
    </w:p>
    <w:p w14:paraId="6301D7E0" w14:textId="77777777" w:rsidR="00150DFC" w:rsidRPr="008D6839" w:rsidRDefault="004F42BE" w:rsidP="006B5D11">
      <w:r>
        <w:tab/>
      </w:r>
      <w:r w:rsidR="006363B0" w:rsidRPr="008D6839">
        <w:t xml:space="preserve">A: </w:t>
      </w:r>
      <w:r w:rsidR="00150DFC" w:rsidRPr="008D6839">
        <w:t>You should not be entering a negative amount</w:t>
      </w:r>
      <w:r w:rsidR="008A502F">
        <w:t xml:space="preserve"> in the Budget Module or Adjustment Module which only accepts positive amounts.  However, the Reporting Module allows negative amounts for year-to-date actuals</w:t>
      </w:r>
      <w:r w:rsidR="00150DFC" w:rsidRPr="008D6839">
        <w:t xml:space="preserve">. LGBMS does the calculations </w:t>
      </w:r>
      <w:r>
        <w:t xml:space="preserve">on the Recap reports </w:t>
      </w:r>
      <w:r w:rsidR="00150DFC" w:rsidRPr="008D6839">
        <w:t>as follow</w:t>
      </w:r>
      <w:r>
        <w:t>s</w:t>
      </w:r>
      <w:r w:rsidR="00150DFC" w:rsidRPr="008D6839">
        <w:t>:</w:t>
      </w:r>
    </w:p>
    <w:p w14:paraId="58C390C7" w14:textId="77777777" w:rsidR="00150DFC" w:rsidRPr="008D6839" w:rsidRDefault="00150DFC" w:rsidP="00150DFC">
      <w:pPr>
        <w:pStyle w:val="ListParagraph"/>
        <w:numPr>
          <w:ilvl w:val="0"/>
          <w:numId w:val="1"/>
        </w:numPr>
      </w:pPr>
      <w:r w:rsidRPr="008D6839">
        <w:t>Revenue as an increase</w:t>
      </w:r>
    </w:p>
    <w:p w14:paraId="61960B6A" w14:textId="77777777" w:rsidR="006B5D11" w:rsidRPr="008D6839" w:rsidRDefault="00150DFC" w:rsidP="00150DFC">
      <w:pPr>
        <w:pStyle w:val="ListParagraph"/>
        <w:numPr>
          <w:ilvl w:val="0"/>
          <w:numId w:val="1"/>
        </w:numPr>
      </w:pPr>
      <w:r w:rsidRPr="008D6839">
        <w:t>Expenditures as a decrease</w:t>
      </w:r>
    </w:p>
    <w:p w14:paraId="5440DBA4" w14:textId="77777777" w:rsidR="00150DFC" w:rsidRPr="008D6839" w:rsidRDefault="00150DFC" w:rsidP="00150DFC">
      <w:pPr>
        <w:pStyle w:val="ListParagraph"/>
        <w:numPr>
          <w:ilvl w:val="0"/>
          <w:numId w:val="1"/>
        </w:numPr>
      </w:pPr>
      <w:r w:rsidRPr="008D6839">
        <w:t>Transfers “in” as a</w:t>
      </w:r>
      <w:r w:rsidR="004F42BE">
        <w:t>n</w:t>
      </w:r>
      <w:r w:rsidRPr="008D6839">
        <w:t xml:space="preserve"> increase</w:t>
      </w:r>
    </w:p>
    <w:p w14:paraId="5736FF43" w14:textId="77777777" w:rsidR="00150DFC" w:rsidRDefault="00150DFC" w:rsidP="00150DFC">
      <w:pPr>
        <w:pStyle w:val="ListParagraph"/>
        <w:numPr>
          <w:ilvl w:val="0"/>
          <w:numId w:val="1"/>
        </w:numPr>
      </w:pPr>
      <w:r w:rsidRPr="008D6839">
        <w:t>Transfers “out” as a decrease</w:t>
      </w:r>
    </w:p>
    <w:p w14:paraId="73EBA1A0" w14:textId="77777777" w:rsidR="004F42BE" w:rsidRPr="004F42BE" w:rsidRDefault="004F42BE" w:rsidP="004F42BE">
      <w:pPr>
        <w:rPr>
          <w:b/>
          <w:color w:val="2F5496" w:themeColor="accent5" w:themeShade="BF"/>
        </w:rPr>
      </w:pPr>
    </w:p>
    <w:p w14:paraId="31A473BB" w14:textId="77777777" w:rsidR="009A5331" w:rsidRPr="004F42BE" w:rsidRDefault="009A5331" w:rsidP="004F42BE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4F42BE">
        <w:rPr>
          <w:b/>
          <w:color w:val="2F5496" w:themeColor="accent5" w:themeShade="BF"/>
        </w:rPr>
        <w:lastRenderedPageBreak/>
        <w:t>When importing items, the system doesn't recognize the negative sign and enters it as a positive number.  Thus your data is inaccurate. Is there a</w:t>
      </w:r>
      <w:r w:rsidR="00150DFC" w:rsidRPr="004F42BE">
        <w:rPr>
          <w:b/>
          <w:color w:val="2F5496" w:themeColor="accent5" w:themeShade="BF"/>
        </w:rPr>
        <w:t xml:space="preserve"> </w:t>
      </w:r>
      <w:r w:rsidRPr="004F42BE">
        <w:rPr>
          <w:b/>
          <w:color w:val="2F5496" w:themeColor="accent5" w:themeShade="BF"/>
        </w:rPr>
        <w:t>way to import a negative number?</w:t>
      </w:r>
    </w:p>
    <w:p w14:paraId="0CF8A979" w14:textId="77777777" w:rsidR="00150DFC" w:rsidRPr="008D6839" w:rsidRDefault="004F42BE" w:rsidP="009A5331">
      <w:r>
        <w:tab/>
      </w:r>
      <w:r w:rsidR="00C04AF4" w:rsidRPr="008D6839">
        <w:t xml:space="preserve">A:  </w:t>
      </w:r>
      <w:r w:rsidR="00150DFC" w:rsidRPr="008D6839">
        <w:t>Negative amounts should not be entered</w:t>
      </w:r>
      <w:r>
        <w:t>/uploaded on the Budget Module or Adjustment Module</w:t>
      </w:r>
      <w:r w:rsidR="00150DFC" w:rsidRPr="008D6839">
        <w:t xml:space="preserve">. </w:t>
      </w:r>
      <w:r>
        <w:t xml:space="preserve">If your internal accounting system recognizes revenues and other credit entries with a negative, then you will need to change the amounts to positive before entering/uploading on LGBMS.  </w:t>
      </w:r>
      <w:r w:rsidR="00150DFC" w:rsidRPr="008D6839">
        <w:t>The</w:t>
      </w:r>
      <w:r w:rsidR="006363B0" w:rsidRPr="008D6839">
        <w:t xml:space="preserve"> system knows what to calculate if you use the right </w:t>
      </w:r>
      <w:r w:rsidR="00150DFC" w:rsidRPr="008D6839">
        <w:t xml:space="preserve">fund and </w:t>
      </w:r>
      <w:r w:rsidR="00C04AF4" w:rsidRPr="008D6839">
        <w:t>object code.</w:t>
      </w:r>
      <w:r w:rsidR="00150DFC" w:rsidRPr="008D6839">
        <w:t xml:space="preserve"> Example:</w:t>
      </w:r>
    </w:p>
    <w:p w14:paraId="3A8A46F2" w14:textId="77777777" w:rsidR="009A5331" w:rsidRDefault="00DF1D5E" w:rsidP="00150DFC">
      <w:pPr>
        <w:pStyle w:val="ListParagraph"/>
        <w:numPr>
          <w:ilvl w:val="0"/>
          <w:numId w:val="2"/>
        </w:numPr>
        <w:rPr>
          <w:b/>
        </w:rPr>
      </w:pPr>
      <w:r>
        <w:rPr>
          <w:b/>
          <w:u w:val="single"/>
        </w:rPr>
        <w:t>Revenues:</w:t>
      </w:r>
      <w:r w:rsidRPr="00DF1D5E">
        <w:t xml:space="preserve"> </w:t>
      </w:r>
      <w:r w:rsidR="00150DFC" w:rsidRPr="00DF1D5E">
        <w:t xml:space="preserve"> </w:t>
      </w:r>
      <w:r>
        <w:rPr>
          <w:b/>
          <w:u w:val="single"/>
        </w:rPr>
        <w:t xml:space="preserve">Department </w:t>
      </w:r>
      <w:r>
        <w:rPr>
          <w:b/>
        </w:rPr>
        <w:t xml:space="preserve">- </w:t>
      </w:r>
      <w:r w:rsidR="00150DFC" w:rsidRPr="00DF1D5E">
        <w:t>0001</w:t>
      </w:r>
      <w:r>
        <w:t xml:space="preserve"> No Department -</w:t>
      </w:r>
      <w:r>
        <w:rPr>
          <w:b/>
        </w:rPr>
        <w:t xml:space="preserve">  </w:t>
      </w:r>
      <w:r w:rsidRPr="00DF1D5E">
        <w:rPr>
          <w:b/>
          <w:u w:val="single"/>
        </w:rPr>
        <w:t>Object Code:</w:t>
      </w:r>
      <w:r>
        <w:rPr>
          <w:b/>
        </w:rPr>
        <w:t xml:space="preserve"> </w:t>
      </w:r>
      <w:r w:rsidRPr="00DF1D5E">
        <w:t>41250 Municipal Local Option General</w:t>
      </w:r>
    </w:p>
    <w:p w14:paraId="65D09066" w14:textId="77777777" w:rsidR="00150DFC" w:rsidRDefault="00DF1D5E" w:rsidP="00150DFC">
      <w:pPr>
        <w:pStyle w:val="ListParagraph"/>
        <w:numPr>
          <w:ilvl w:val="0"/>
          <w:numId w:val="2"/>
        </w:numPr>
      </w:pPr>
      <w:r w:rsidRPr="00DF1D5E">
        <w:rPr>
          <w:b/>
          <w:u w:val="single"/>
        </w:rPr>
        <w:t>Transfers</w:t>
      </w:r>
      <w:r>
        <w:rPr>
          <w:b/>
        </w:rPr>
        <w:t xml:space="preserve">: Department - </w:t>
      </w:r>
      <w:r w:rsidRPr="00DF1D5E">
        <w:t>0001 No Department</w:t>
      </w:r>
      <w:r>
        <w:t xml:space="preserve"> </w:t>
      </w:r>
      <w:r>
        <w:rPr>
          <w:b/>
        </w:rPr>
        <w:t xml:space="preserve">- Object Code: </w:t>
      </w:r>
      <w:r w:rsidRPr="00DF1D5E">
        <w:t>61100 Transfers in</w:t>
      </w:r>
    </w:p>
    <w:p w14:paraId="0D4074C5" w14:textId="77777777" w:rsidR="00DF1D5E" w:rsidRDefault="00DF1D5E" w:rsidP="00DF1D5E">
      <w:pPr>
        <w:pStyle w:val="ListParagraph"/>
        <w:numPr>
          <w:ilvl w:val="0"/>
          <w:numId w:val="2"/>
        </w:numPr>
      </w:pPr>
      <w:r w:rsidRPr="00DF1D5E">
        <w:rPr>
          <w:b/>
          <w:u w:val="single"/>
        </w:rPr>
        <w:t>Transfers</w:t>
      </w:r>
      <w:r>
        <w:rPr>
          <w:b/>
        </w:rPr>
        <w:t xml:space="preserve">: Department -  </w:t>
      </w:r>
      <w:r w:rsidRPr="00DF1D5E">
        <w:t>0001 No Department</w:t>
      </w:r>
      <w:r>
        <w:t xml:space="preserve"> </w:t>
      </w:r>
      <w:r>
        <w:rPr>
          <w:b/>
        </w:rPr>
        <w:t xml:space="preserve">- Object Code: </w:t>
      </w:r>
      <w:r>
        <w:t>61200 Transfers out</w:t>
      </w:r>
    </w:p>
    <w:p w14:paraId="7CCC69A0" w14:textId="77777777" w:rsidR="00DF1D5E" w:rsidRPr="00DF1D5E" w:rsidRDefault="00DF1D5E" w:rsidP="00DF1D5E">
      <w:pPr>
        <w:pStyle w:val="ListParagraph"/>
        <w:numPr>
          <w:ilvl w:val="0"/>
          <w:numId w:val="2"/>
        </w:numPr>
      </w:pPr>
      <w:r>
        <w:rPr>
          <w:b/>
          <w:u w:val="single"/>
        </w:rPr>
        <w:t>Expenditures:</w:t>
      </w:r>
      <w:r>
        <w:t xml:space="preserve"> </w:t>
      </w:r>
      <w:r w:rsidRPr="00DF1D5E">
        <w:rPr>
          <w:b/>
        </w:rPr>
        <w:t>Department-</w:t>
      </w:r>
      <w:r>
        <w:t xml:space="preserve">1001 Governing Body - </w:t>
      </w:r>
      <w:r w:rsidRPr="00DF1D5E">
        <w:rPr>
          <w:b/>
        </w:rPr>
        <w:t>Object Code</w:t>
      </w:r>
      <w:r>
        <w:t>: 51010 Salaries-Elected Officials</w:t>
      </w:r>
    </w:p>
    <w:p w14:paraId="48FD2AF1" w14:textId="77777777" w:rsidR="00DF1D5E" w:rsidRPr="00DF1D5E" w:rsidRDefault="00DF1D5E" w:rsidP="004F42BE">
      <w:pPr>
        <w:ind w:left="360"/>
      </w:pPr>
    </w:p>
    <w:p w14:paraId="3365374B" w14:textId="77777777" w:rsidR="006B5D11" w:rsidRPr="004F42BE" w:rsidRDefault="00C04AF4" w:rsidP="004F42BE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4F42BE">
        <w:rPr>
          <w:b/>
          <w:color w:val="2F5496" w:themeColor="accent5" w:themeShade="BF"/>
        </w:rPr>
        <w:t>T</w:t>
      </w:r>
      <w:r w:rsidR="00DF1D5E" w:rsidRPr="004F42BE">
        <w:rPr>
          <w:b/>
          <w:color w:val="2F5496" w:themeColor="accent5" w:themeShade="BF"/>
        </w:rPr>
        <w:t>ravel expense for example. W</w:t>
      </w:r>
      <w:r w:rsidR="009A5331" w:rsidRPr="004F42BE">
        <w:rPr>
          <w:b/>
          <w:color w:val="2F5496" w:themeColor="accent5" w:themeShade="BF"/>
        </w:rPr>
        <w:t>e got a refund in current year, so the expense is negative</w:t>
      </w:r>
      <w:r w:rsidR="004F42BE">
        <w:rPr>
          <w:b/>
          <w:color w:val="2F5496" w:themeColor="accent5" w:themeShade="BF"/>
        </w:rPr>
        <w:t>.</w:t>
      </w:r>
    </w:p>
    <w:p w14:paraId="4D07069F" w14:textId="77777777" w:rsidR="00C04AF4" w:rsidRDefault="004F42BE" w:rsidP="006B5D11">
      <w:r>
        <w:tab/>
      </w:r>
      <w:r w:rsidR="00C04AF4">
        <w:t xml:space="preserve">A:  </w:t>
      </w:r>
      <w:r w:rsidR="00DF1D5E">
        <w:t xml:space="preserve">If you </w:t>
      </w:r>
      <w:r w:rsidR="001818FC">
        <w:t xml:space="preserve">received </w:t>
      </w:r>
      <w:r w:rsidR="00DF1D5E">
        <w:t xml:space="preserve">a refund </w:t>
      </w:r>
      <w:r>
        <w:t xml:space="preserve">for a </w:t>
      </w:r>
      <w:r w:rsidR="00DF1D5E">
        <w:t>current year</w:t>
      </w:r>
      <w:r>
        <w:t xml:space="preserve"> expenditure</w:t>
      </w:r>
      <w:r w:rsidR="00DF1D5E">
        <w:t xml:space="preserve">, </w:t>
      </w:r>
      <w:r>
        <w:t>then you would include that negative amount in the overall year-to-date (YTD) amount reported for the expenditure line item</w:t>
      </w:r>
      <w:r w:rsidR="001818FC">
        <w:t xml:space="preserve"> in the quarterly report.  </w:t>
      </w:r>
      <w:r>
        <w:t xml:space="preserve">For example, </w:t>
      </w:r>
      <w:r w:rsidR="001818FC">
        <w:t xml:space="preserve">if </w:t>
      </w:r>
      <w:r>
        <w:t xml:space="preserve">prior to the refund YTD </w:t>
      </w:r>
      <w:r w:rsidR="001818FC">
        <w:t xml:space="preserve">travel </w:t>
      </w:r>
      <w:r>
        <w:t>expenditures are $1,</w:t>
      </w:r>
      <w:r w:rsidR="001818FC">
        <w:t xml:space="preserve">000 and the refund was $100, </w:t>
      </w:r>
      <w:r>
        <w:t>you would report the net amount as $900 (1,000 – 100)</w:t>
      </w:r>
      <w:r w:rsidR="001818FC">
        <w:t xml:space="preserve"> in the Reporting Module</w:t>
      </w:r>
      <w:r>
        <w:t xml:space="preserve">.  If the refund is for a prior year expenditure, </w:t>
      </w:r>
      <w:r w:rsidR="00DF1D5E">
        <w:t xml:space="preserve">you </w:t>
      </w:r>
      <w:r w:rsidR="008D6839">
        <w:t xml:space="preserve">would </w:t>
      </w:r>
      <w:r w:rsidR="001818FC">
        <w:t>report t</w:t>
      </w:r>
      <w:r w:rsidR="008D6839">
        <w:t>hat as new revenue</w:t>
      </w:r>
      <w:r w:rsidR="001818FC">
        <w:t xml:space="preserve"> using LGBMS line item </w:t>
      </w:r>
      <w:r w:rsidR="001818FC" w:rsidRPr="001818FC">
        <w:t>46060 Reimbursements/Refunds</w:t>
      </w:r>
      <w:r w:rsidR="001818FC">
        <w:t>.</w:t>
      </w:r>
    </w:p>
    <w:sectPr w:rsidR="00C04AF4" w:rsidSect="004F42B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32B7F"/>
    <w:multiLevelType w:val="hybridMultilevel"/>
    <w:tmpl w:val="24CC1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81FEE"/>
    <w:multiLevelType w:val="hybridMultilevel"/>
    <w:tmpl w:val="880CA6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760614"/>
    <w:multiLevelType w:val="hybridMultilevel"/>
    <w:tmpl w:val="02664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D11"/>
    <w:rsid w:val="000012BB"/>
    <w:rsid w:val="000067DF"/>
    <w:rsid w:val="000129C1"/>
    <w:rsid w:val="00015D1E"/>
    <w:rsid w:val="000172B9"/>
    <w:rsid w:val="000206DE"/>
    <w:rsid w:val="0002232F"/>
    <w:rsid w:val="0002426F"/>
    <w:rsid w:val="000246E4"/>
    <w:rsid w:val="0002724B"/>
    <w:rsid w:val="00027D90"/>
    <w:rsid w:val="000323D5"/>
    <w:rsid w:val="000326D6"/>
    <w:rsid w:val="00043991"/>
    <w:rsid w:val="00047E6F"/>
    <w:rsid w:val="000573DE"/>
    <w:rsid w:val="00062752"/>
    <w:rsid w:val="00062E83"/>
    <w:rsid w:val="000636E0"/>
    <w:rsid w:val="00063BC1"/>
    <w:rsid w:val="0006611F"/>
    <w:rsid w:val="000735C9"/>
    <w:rsid w:val="00074F43"/>
    <w:rsid w:val="0007548B"/>
    <w:rsid w:val="00084418"/>
    <w:rsid w:val="00084DB9"/>
    <w:rsid w:val="00086363"/>
    <w:rsid w:val="00087838"/>
    <w:rsid w:val="00096CF9"/>
    <w:rsid w:val="00097595"/>
    <w:rsid w:val="000979AD"/>
    <w:rsid w:val="00097A97"/>
    <w:rsid w:val="000A1A9C"/>
    <w:rsid w:val="000A1FEA"/>
    <w:rsid w:val="000B0444"/>
    <w:rsid w:val="000B16E7"/>
    <w:rsid w:val="000B211E"/>
    <w:rsid w:val="000C10DD"/>
    <w:rsid w:val="000C1553"/>
    <w:rsid w:val="000C6814"/>
    <w:rsid w:val="000D074F"/>
    <w:rsid w:val="000E1F7E"/>
    <w:rsid w:val="000E2805"/>
    <w:rsid w:val="000E36B4"/>
    <w:rsid w:val="000E644B"/>
    <w:rsid w:val="000E6531"/>
    <w:rsid w:val="000E7FA1"/>
    <w:rsid w:val="00100E57"/>
    <w:rsid w:val="00101523"/>
    <w:rsid w:val="001032DE"/>
    <w:rsid w:val="0010467F"/>
    <w:rsid w:val="00106336"/>
    <w:rsid w:val="00110345"/>
    <w:rsid w:val="00113F1D"/>
    <w:rsid w:val="0011746F"/>
    <w:rsid w:val="00117AD9"/>
    <w:rsid w:val="001209E3"/>
    <w:rsid w:val="0012124C"/>
    <w:rsid w:val="00131C49"/>
    <w:rsid w:val="00137946"/>
    <w:rsid w:val="0014207A"/>
    <w:rsid w:val="00143416"/>
    <w:rsid w:val="00150DFC"/>
    <w:rsid w:val="00156BF6"/>
    <w:rsid w:val="00175436"/>
    <w:rsid w:val="001818FC"/>
    <w:rsid w:val="00182845"/>
    <w:rsid w:val="0018577E"/>
    <w:rsid w:val="00196DD5"/>
    <w:rsid w:val="001A1664"/>
    <w:rsid w:val="001A5936"/>
    <w:rsid w:val="001A705D"/>
    <w:rsid w:val="001B5695"/>
    <w:rsid w:val="001B5BEE"/>
    <w:rsid w:val="001B6576"/>
    <w:rsid w:val="001D3780"/>
    <w:rsid w:val="001D51E8"/>
    <w:rsid w:val="001E3012"/>
    <w:rsid w:val="001E37DB"/>
    <w:rsid w:val="001E5B91"/>
    <w:rsid w:val="001E6D6E"/>
    <w:rsid w:val="001F02C5"/>
    <w:rsid w:val="001F2D0E"/>
    <w:rsid w:val="001F2F29"/>
    <w:rsid w:val="001F5FF0"/>
    <w:rsid w:val="002002E0"/>
    <w:rsid w:val="0020184D"/>
    <w:rsid w:val="002063E0"/>
    <w:rsid w:val="00213D6D"/>
    <w:rsid w:val="0021513E"/>
    <w:rsid w:val="002152A0"/>
    <w:rsid w:val="002223EA"/>
    <w:rsid w:val="0022370B"/>
    <w:rsid w:val="0022509B"/>
    <w:rsid w:val="00226097"/>
    <w:rsid w:val="00227750"/>
    <w:rsid w:val="00235503"/>
    <w:rsid w:val="0023776E"/>
    <w:rsid w:val="00237A10"/>
    <w:rsid w:val="00241EA4"/>
    <w:rsid w:val="002430E6"/>
    <w:rsid w:val="0024363C"/>
    <w:rsid w:val="00244928"/>
    <w:rsid w:val="002459CE"/>
    <w:rsid w:val="00253637"/>
    <w:rsid w:val="002559A9"/>
    <w:rsid w:val="002560E5"/>
    <w:rsid w:val="00265E62"/>
    <w:rsid w:val="002708BA"/>
    <w:rsid w:val="00273309"/>
    <w:rsid w:val="002743D8"/>
    <w:rsid w:val="0028444D"/>
    <w:rsid w:val="0029250B"/>
    <w:rsid w:val="0029314D"/>
    <w:rsid w:val="00293523"/>
    <w:rsid w:val="00294070"/>
    <w:rsid w:val="00295CEE"/>
    <w:rsid w:val="00296DD1"/>
    <w:rsid w:val="00297C89"/>
    <w:rsid w:val="002A092E"/>
    <w:rsid w:val="002A77F4"/>
    <w:rsid w:val="002B1982"/>
    <w:rsid w:val="002C19C6"/>
    <w:rsid w:val="002C19C8"/>
    <w:rsid w:val="002C2683"/>
    <w:rsid w:val="002C486E"/>
    <w:rsid w:val="002C6500"/>
    <w:rsid w:val="002D0830"/>
    <w:rsid w:val="002D36EA"/>
    <w:rsid w:val="002D54FA"/>
    <w:rsid w:val="002D5A04"/>
    <w:rsid w:val="002D7E9E"/>
    <w:rsid w:val="002E1155"/>
    <w:rsid w:val="002E19B7"/>
    <w:rsid w:val="002E4D8C"/>
    <w:rsid w:val="002E601A"/>
    <w:rsid w:val="002F15CC"/>
    <w:rsid w:val="002F1D25"/>
    <w:rsid w:val="002F58E8"/>
    <w:rsid w:val="00300145"/>
    <w:rsid w:val="00301556"/>
    <w:rsid w:val="00302AC7"/>
    <w:rsid w:val="00305B4A"/>
    <w:rsid w:val="0031097D"/>
    <w:rsid w:val="003138EA"/>
    <w:rsid w:val="00316436"/>
    <w:rsid w:val="003318BF"/>
    <w:rsid w:val="00337ECA"/>
    <w:rsid w:val="00340E1E"/>
    <w:rsid w:val="003412F7"/>
    <w:rsid w:val="00342D59"/>
    <w:rsid w:val="00343F52"/>
    <w:rsid w:val="00347D73"/>
    <w:rsid w:val="00355E26"/>
    <w:rsid w:val="003633F5"/>
    <w:rsid w:val="003717CB"/>
    <w:rsid w:val="003733A4"/>
    <w:rsid w:val="00374894"/>
    <w:rsid w:val="003759E4"/>
    <w:rsid w:val="00377F8E"/>
    <w:rsid w:val="003802C0"/>
    <w:rsid w:val="00384EF1"/>
    <w:rsid w:val="00384F02"/>
    <w:rsid w:val="00385F09"/>
    <w:rsid w:val="0039493E"/>
    <w:rsid w:val="003A78C5"/>
    <w:rsid w:val="003A7974"/>
    <w:rsid w:val="003B2070"/>
    <w:rsid w:val="003B371B"/>
    <w:rsid w:val="003B45AC"/>
    <w:rsid w:val="003C05EA"/>
    <w:rsid w:val="003C09F3"/>
    <w:rsid w:val="003C2170"/>
    <w:rsid w:val="003C364B"/>
    <w:rsid w:val="003C72E6"/>
    <w:rsid w:val="003C7C21"/>
    <w:rsid w:val="003D10D3"/>
    <w:rsid w:val="003D21DF"/>
    <w:rsid w:val="003D7CFB"/>
    <w:rsid w:val="003E17CE"/>
    <w:rsid w:val="003E2695"/>
    <w:rsid w:val="003E6681"/>
    <w:rsid w:val="003E6809"/>
    <w:rsid w:val="003E6989"/>
    <w:rsid w:val="003E7B05"/>
    <w:rsid w:val="003F0479"/>
    <w:rsid w:val="003F0C12"/>
    <w:rsid w:val="004019D4"/>
    <w:rsid w:val="00401AA2"/>
    <w:rsid w:val="0040270C"/>
    <w:rsid w:val="00410DF1"/>
    <w:rsid w:val="00413173"/>
    <w:rsid w:val="00423834"/>
    <w:rsid w:val="004269EB"/>
    <w:rsid w:val="00440972"/>
    <w:rsid w:val="00440F4D"/>
    <w:rsid w:val="00442989"/>
    <w:rsid w:val="00445B47"/>
    <w:rsid w:val="00447C72"/>
    <w:rsid w:val="00456EFF"/>
    <w:rsid w:val="004607B7"/>
    <w:rsid w:val="004607CF"/>
    <w:rsid w:val="00461B4B"/>
    <w:rsid w:val="0046371C"/>
    <w:rsid w:val="00463F41"/>
    <w:rsid w:val="004670D3"/>
    <w:rsid w:val="00467FC3"/>
    <w:rsid w:val="004768E6"/>
    <w:rsid w:val="0047740C"/>
    <w:rsid w:val="0048031A"/>
    <w:rsid w:val="004822DC"/>
    <w:rsid w:val="00483755"/>
    <w:rsid w:val="00484EF4"/>
    <w:rsid w:val="00487FE1"/>
    <w:rsid w:val="004954BF"/>
    <w:rsid w:val="00497804"/>
    <w:rsid w:val="004A2606"/>
    <w:rsid w:val="004A29A0"/>
    <w:rsid w:val="004A4AA2"/>
    <w:rsid w:val="004B4E91"/>
    <w:rsid w:val="004B5E5D"/>
    <w:rsid w:val="004C4659"/>
    <w:rsid w:val="004D0676"/>
    <w:rsid w:val="004D23A6"/>
    <w:rsid w:val="004D4827"/>
    <w:rsid w:val="004E2AC7"/>
    <w:rsid w:val="004E7531"/>
    <w:rsid w:val="004F36AD"/>
    <w:rsid w:val="004F42BE"/>
    <w:rsid w:val="00500746"/>
    <w:rsid w:val="00500C00"/>
    <w:rsid w:val="0050642C"/>
    <w:rsid w:val="00511BF2"/>
    <w:rsid w:val="005134C7"/>
    <w:rsid w:val="00515D3A"/>
    <w:rsid w:val="00522DFD"/>
    <w:rsid w:val="005240EF"/>
    <w:rsid w:val="005350E2"/>
    <w:rsid w:val="005413ED"/>
    <w:rsid w:val="00541413"/>
    <w:rsid w:val="00545C47"/>
    <w:rsid w:val="00546B83"/>
    <w:rsid w:val="005471B0"/>
    <w:rsid w:val="00550697"/>
    <w:rsid w:val="00551FD3"/>
    <w:rsid w:val="00555ED2"/>
    <w:rsid w:val="00560AA2"/>
    <w:rsid w:val="00562EFE"/>
    <w:rsid w:val="00563576"/>
    <w:rsid w:val="00564CF0"/>
    <w:rsid w:val="005729FE"/>
    <w:rsid w:val="00573446"/>
    <w:rsid w:val="00577645"/>
    <w:rsid w:val="005809EB"/>
    <w:rsid w:val="005809FC"/>
    <w:rsid w:val="00591667"/>
    <w:rsid w:val="00595FD0"/>
    <w:rsid w:val="005A05B3"/>
    <w:rsid w:val="005A07AE"/>
    <w:rsid w:val="005A210E"/>
    <w:rsid w:val="005B1244"/>
    <w:rsid w:val="005C07C8"/>
    <w:rsid w:val="005C083F"/>
    <w:rsid w:val="005C54E9"/>
    <w:rsid w:val="005C7624"/>
    <w:rsid w:val="005D1FB9"/>
    <w:rsid w:val="005D6E76"/>
    <w:rsid w:val="005D70AC"/>
    <w:rsid w:val="005D7392"/>
    <w:rsid w:val="005E1470"/>
    <w:rsid w:val="005E1681"/>
    <w:rsid w:val="005E1ADD"/>
    <w:rsid w:val="005E2739"/>
    <w:rsid w:val="005E2C23"/>
    <w:rsid w:val="005E505B"/>
    <w:rsid w:val="005E5F6F"/>
    <w:rsid w:val="005E6F0D"/>
    <w:rsid w:val="005F0E13"/>
    <w:rsid w:val="005F58BD"/>
    <w:rsid w:val="006024A6"/>
    <w:rsid w:val="00602773"/>
    <w:rsid w:val="0060630C"/>
    <w:rsid w:val="00615CBE"/>
    <w:rsid w:val="0061632A"/>
    <w:rsid w:val="006170FD"/>
    <w:rsid w:val="006174EE"/>
    <w:rsid w:val="0061781E"/>
    <w:rsid w:val="0062043D"/>
    <w:rsid w:val="0062070E"/>
    <w:rsid w:val="00620B24"/>
    <w:rsid w:val="006350A4"/>
    <w:rsid w:val="006361C6"/>
    <w:rsid w:val="006363B0"/>
    <w:rsid w:val="006371CC"/>
    <w:rsid w:val="006377DC"/>
    <w:rsid w:val="00641AD7"/>
    <w:rsid w:val="00642E99"/>
    <w:rsid w:val="006513F6"/>
    <w:rsid w:val="0065782A"/>
    <w:rsid w:val="00661643"/>
    <w:rsid w:val="00663CD8"/>
    <w:rsid w:val="00666C92"/>
    <w:rsid w:val="00671315"/>
    <w:rsid w:val="00671D97"/>
    <w:rsid w:val="00672843"/>
    <w:rsid w:val="00674306"/>
    <w:rsid w:val="00677690"/>
    <w:rsid w:val="00677E2B"/>
    <w:rsid w:val="00680B0F"/>
    <w:rsid w:val="00687098"/>
    <w:rsid w:val="006929D1"/>
    <w:rsid w:val="006A1768"/>
    <w:rsid w:val="006A323F"/>
    <w:rsid w:val="006A4946"/>
    <w:rsid w:val="006A6205"/>
    <w:rsid w:val="006B5D11"/>
    <w:rsid w:val="006B66F6"/>
    <w:rsid w:val="006B67FC"/>
    <w:rsid w:val="006B6A6A"/>
    <w:rsid w:val="006C0715"/>
    <w:rsid w:val="006C2D1D"/>
    <w:rsid w:val="006C7776"/>
    <w:rsid w:val="006D4531"/>
    <w:rsid w:val="006E1B7B"/>
    <w:rsid w:val="006E6365"/>
    <w:rsid w:val="006F11DD"/>
    <w:rsid w:val="006F27A5"/>
    <w:rsid w:val="006F5D07"/>
    <w:rsid w:val="006F7AF3"/>
    <w:rsid w:val="00704F1B"/>
    <w:rsid w:val="00704F6D"/>
    <w:rsid w:val="00706A37"/>
    <w:rsid w:val="00712BA4"/>
    <w:rsid w:val="0071550C"/>
    <w:rsid w:val="00715FF1"/>
    <w:rsid w:val="007176D4"/>
    <w:rsid w:val="00722154"/>
    <w:rsid w:val="0072269F"/>
    <w:rsid w:val="00723E7C"/>
    <w:rsid w:val="0072597A"/>
    <w:rsid w:val="00725A70"/>
    <w:rsid w:val="00727B4B"/>
    <w:rsid w:val="0073038E"/>
    <w:rsid w:val="00730D2E"/>
    <w:rsid w:val="00734B9D"/>
    <w:rsid w:val="00735726"/>
    <w:rsid w:val="00736CA4"/>
    <w:rsid w:val="00740F6E"/>
    <w:rsid w:val="00744D7D"/>
    <w:rsid w:val="007511D7"/>
    <w:rsid w:val="00752EFA"/>
    <w:rsid w:val="007538AB"/>
    <w:rsid w:val="00757E96"/>
    <w:rsid w:val="00762CCF"/>
    <w:rsid w:val="0076484C"/>
    <w:rsid w:val="00771F44"/>
    <w:rsid w:val="00772935"/>
    <w:rsid w:val="00773D2F"/>
    <w:rsid w:val="00780D29"/>
    <w:rsid w:val="00781043"/>
    <w:rsid w:val="00785ABB"/>
    <w:rsid w:val="007866A8"/>
    <w:rsid w:val="00790758"/>
    <w:rsid w:val="00790841"/>
    <w:rsid w:val="00790F62"/>
    <w:rsid w:val="007A0916"/>
    <w:rsid w:val="007A679D"/>
    <w:rsid w:val="007B0316"/>
    <w:rsid w:val="007B509E"/>
    <w:rsid w:val="007B57DB"/>
    <w:rsid w:val="007C7A46"/>
    <w:rsid w:val="007D2CF6"/>
    <w:rsid w:val="007D3CAE"/>
    <w:rsid w:val="007D6251"/>
    <w:rsid w:val="007D6C06"/>
    <w:rsid w:val="007E3FE9"/>
    <w:rsid w:val="007E6078"/>
    <w:rsid w:val="007F2F02"/>
    <w:rsid w:val="007F7F47"/>
    <w:rsid w:val="008017BA"/>
    <w:rsid w:val="008018AA"/>
    <w:rsid w:val="00803FB1"/>
    <w:rsid w:val="00804C61"/>
    <w:rsid w:val="00816950"/>
    <w:rsid w:val="008220E6"/>
    <w:rsid w:val="00832CFD"/>
    <w:rsid w:val="00834364"/>
    <w:rsid w:val="008376C8"/>
    <w:rsid w:val="00845054"/>
    <w:rsid w:val="008475B6"/>
    <w:rsid w:val="0084771E"/>
    <w:rsid w:val="00856BFA"/>
    <w:rsid w:val="00862342"/>
    <w:rsid w:val="00864746"/>
    <w:rsid w:val="00865A74"/>
    <w:rsid w:val="00880EB6"/>
    <w:rsid w:val="00883011"/>
    <w:rsid w:val="00884FD6"/>
    <w:rsid w:val="0088544F"/>
    <w:rsid w:val="00886061"/>
    <w:rsid w:val="008A074A"/>
    <w:rsid w:val="008A0908"/>
    <w:rsid w:val="008A502F"/>
    <w:rsid w:val="008A5808"/>
    <w:rsid w:val="008B09E1"/>
    <w:rsid w:val="008B3F51"/>
    <w:rsid w:val="008B4B9E"/>
    <w:rsid w:val="008B5967"/>
    <w:rsid w:val="008B5CFA"/>
    <w:rsid w:val="008C31D5"/>
    <w:rsid w:val="008C3338"/>
    <w:rsid w:val="008C4A1D"/>
    <w:rsid w:val="008D2373"/>
    <w:rsid w:val="008D3AA4"/>
    <w:rsid w:val="008D3F18"/>
    <w:rsid w:val="008D5362"/>
    <w:rsid w:val="008D5BAB"/>
    <w:rsid w:val="008D6839"/>
    <w:rsid w:val="008D7514"/>
    <w:rsid w:val="008E0A48"/>
    <w:rsid w:val="008E1966"/>
    <w:rsid w:val="008E40AC"/>
    <w:rsid w:val="008F022E"/>
    <w:rsid w:val="008F0950"/>
    <w:rsid w:val="0090186F"/>
    <w:rsid w:val="00906104"/>
    <w:rsid w:val="00907EF3"/>
    <w:rsid w:val="00917F1E"/>
    <w:rsid w:val="009226ED"/>
    <w:rsid w:val="00922BFD"/>
    <w:rsid w:val="009239D7"/>
    <w:rsid w:val="00931113"/>
    <w:rsid w:val="009362E4"/>
    <w:rsid w:val="00940008"/>
    <w:rsid w:val="0094478B"/>
    <w:rsid w:val="00950B32"/>
    <w:rsid w:val="009510C1"/>
    <w:rsid w:val="00951671"/>
    <w:rsid w:val="00952F39"/>
    <w:rsid w:val="00953483"/>
    <w:rsid w:val="009562E1"/>
    <w:rsid w:val="0096066F"/>
    <w:rsid w:val="00966C33"/>
    <w:rsid w:val="00967224"/>
    <w:rsid w:val="00970B29"/>
    <w:rsid w:val="00972D31"/>
    <w:rsid w:val="0097496F"/>
    <w:rsid w:val="00974D48"/>
    <w:rsid w:val="00981556"/>
    <w:rsid w:val="00986602"/>
    <w:rsid w:val="00986D8A"/>
    <w:rsid w:val="00986DA8"/>
    <w:rsid w:val="009875CF"/>
    <w:rsid w:val="00990159"/>
    <w:rsid w:val="00990744"/>
    <w:rsid w:val="00992D8F"/>
    <w:rsid w:val="00993223"/>
    <w:rsid w:val="009A1079"/>
    <w:rsid w:val="009A2B51"/>
    <w:rsid w:val="009A363D"/>
    <w:rsid w:val="009A5331"/>
    <w:rsid w:val="009A6268"/>
    <w:rsid w:val="009A6E9E"/>
    <w:rsid w:val="009B1255"/>
    <w:rsid w:val="009B311D"/>
    <w:rsid w:val="009B5329"/>
    <w:rsid w:val="009B53BE"/>
    <w:rsid w:val="009C4395"/>
    <w:rsid w:val="009C4EC7"/>
    <w:rsid w:val="009C5CC6"/>
    <w:rsid w:val="009C7034"/>
    <w:rsid w:val="009C7464"/>
    <w:rsid w:val="009E697A"/>
    <w:rsid w:val="009F4819"/>
    <w:rsid w:val="009F6D86"/>
    <w:rsid w:val="009F786F"/>
    <w:rsid w:val="009F7B70"/>
    <w:rsid w:val="00A013AA"/>
    <w:rsid w:val="00A03BB3"/>
    <w:rsid w:val="00A0554D"/>
    <w:rsid w:val="00A07793"/>
    <w:rsid w:val="00A11D5E"/>
    <w:rsid w:val="00A12C21"/>
    <w:rsid w:val="00A1691D"/>
    <w:rsid w:val="00A240D0"/>
    <w:rsid w:val="00A24F96"/>
    <w:rsid w:val="00A27C1F"/>
    <w:rsid w:val="00A3003D"/>
    <w:rsid w:val="00A30DD5"/>
    <w:rsid w:val="00A31148"/>
    <w:rsid w:val="00A323F5"/>
    <w:rsid w:val="00A34626"/>
    <w:rsid w:val="00A34C30"/>
    <w:rsid w:val="00A3695C"/>
    <w:rsid w:val="00A3717E"/>
    <w:rsid w:val="00A37CB8"/>
    <w:rsid w:val="00A4040A"/>
    <w:rsid w:val="00A413D9"/>
    <w:rsid w:val="00A42E89"/>
    <w:rsid w:val="00A463C5"/>
    <w:rsid w:val="00A47183"/>
    <w:rsid w:val="00A514C9"/>
    <w:rsid w:val="00A550A4"/>
    <w:rsid w:val="00A55388"/>
    <w:rsid w:val="00A5787D"/>
    <w:rsid w:val="00A66144"/>
    <w:rsid w:val="00A72800"/>
    <w:rsid w:val="00A72986"/>
    <w:rsid w:val="00A83BC1"/>
    <w:rsid w:val="00A85B3A"/>
    <w:rsid w:val="00A91281"/>
    <w:rsid w:val="00A91B29"/>
    <w:rsid w:val="00A92BBC"/>
    <w:rsid w:val="00A93C0B"/>
    <w:rsid w:val="00AA12CA"/>
    <w:rsid w:val="00AA4E46"/>
    <w:rsid w:val="00AA5C79"/>
    <w:rsid w:val="00AA739C"/>
    <w:rsid w:val="00AB10D3"/>
    <w:rsid w:val="00AB2320"/>
    <w:rsid w:val="00AB237B"/>
    <w:rsid w:val="00AB7539"/>
    <w:rsid w:val="00AC2A76"/>
    <w:rsid w:val="00AC3E6B"/>
    <w:rsid w:val="00AD0B8D"/>
    <w:rsid w:val="00AD16FF"/>
    <w:rsid w:val="00AD262A"/>
    <w:rsid w:val="00AD287B"/>
    <w:rsid w:val="00AD43EA"/>
    <w:rsid w:val="00AE338D"/>
    <w:rsid w:val="00AE3632"/>
    <w:rsid w:val="00AF7E57"/>
    <w:rsid w:val="00B01A5B"/>
    <w:rsid w:val="00B01CEF"/>
    <w:rsid w:val="00B03D44"/>
    <w:rsid w:val="00B05A1E"/>
    <w:rsid w:val="00B11697"/>
    <w:rsid w:val="00B13FC4"/>
    <w:rsid w:val="00B20C7F"/>
    <w:rsid w:val="00B21827"/>
    <w:rsid w:val="00B23604"/>
    <w:rsid w:val="00B23A0B"/>
    <w:rsid w:val="00B2762A"/>
    <w:rsid w:val="00B27AB5"/>
    <w:rsid w:val="00B31845"/>
    <w:rsid w:val="00B334B2"/>
    <w:rsid w:val="00B3520E"/>
    <w:rsid w:val="00B35352"/>
    <w:rsid w:val="00B36FB8"/>
    <w:rsid w:val="00B61DAB"/>
    <w:rsid w:val="00B63428"/>
    <w:rsid w:val="00B6663D"/>
    <w:rsid w:val="00B72489"/>
    <w:rsid w:val="00B747E3"/>
    <w:rsid w:val="00B81516"/>
    <w:rsid w:val="00B8755B"/>
    <w:rsid w:val="00B93036"/>
    <w:rsid w:val="00B930A9"/>
    <w:rsid w:val="00B96C1D"/>
    <w:rsid w:val="00B971C7"/>
    <w:rsid w:val="00BA01FA"/>
    <w:rsid w:val="00BA27A4"/>
    <w:rsid w:val="00BA42CC"/>
    <w:rsid w:val="00BA66B9"/>
    <w:rsid w:val="00BA7976"/>
    <w:rsid w:val="00BC06E5"/>
    <w:rsid w:val="00BC3D65"/>
    <w:rsid w:val="00BE183F"/>
    <w:rsid w:val="00BE2B80"/>
    <w:rsid w:val="00BE4364"/>
    <w:rsid w:val="00BE5A84"/>
    <w:rsid w:val="00BF1187"/>
    <w:rsid w:val="00BF392D"/>
    <w:rsid w:val="00BF454E"/>
    <w:rsid w:val="00BF48E2"/>
    <w:rsid w:val="00BF507B"/>
    <w:rsid w:val="00BF61F1"/>
    <w:rsid w:val="00BF6A72"/>
    <w:rsid w:val="00C04711"/>
    <w:rsid w:val="00C04AF4"/>
    <w:rsid w:val="00C05B11"/>
    <w:rsid w:val="00C12369"/>
    <w:rsid w:val="00C15299"/>
    <w:rsid w:val="00C207F1"/>
    <w:rsid w:val="00C218E5"/>
    <w:rsid w:val="00C259FB"/>
    <w:rsid w:val="00C26BAA"/>
    <w:rsid w:val="00C31873"/>
    <w:rsid w:val="00C32C8A"/>
    <w:rsid w:val="00C35029"/>
    <w:rsid w:val="00C35B28"/>
    <w:rsid w:val="00C35E32"/>
    <w:rsid w:val="00C41258"/>
    <w:rsid w:val="00C41A70"/>
    <w:rsid w:val="00C433B1"/>
    <w:rsid w:val="00C4390C"/>
    <w:rsid w:val="00C4698D"/>
    <w:rsid w:val="00C64185"/>
    <w:rsid w:val="00C650B1"/>
    <w:rsid w:val="00C67779"/>
    <w:rsid w:val="00C71320"/>
    <w:rsid w:val="00C732B8"/>
    <w:rsid w:val="00C73A7B"/>
    <w:rsid w:val="00C75B5F"/>
    <w:rsid w:val="00C815C9"/>
    <w:rsid w:val="00C932DA"/>
    <w:rsid w:val="00C97C0E"/>
    <w:rsid w:val="00CA1394"/>
    <w:rsid w:val="00CA7335"/>
    <w:rsid w:val="00CB1F01"/>
    <w:rsid w:val="00CB670D"/>
    <w:rsid w:val="00CB7AFB"/>
    <w:rsid w:val="00CC1183"/>
    <w:rsid w:val="00CC2E0E"/>
    <w:rsid w:val="00CD0A6C"/>
    <w:rsid w:val="00CD24A4"/>
    <w:rsid w:val="00CD39FF"/>
    <w:rsid w:val="00CD5CA0"/>
    <w:rsid w:val="00CD7315"/>
    <w:rsid w:val="00CF3001"/>
    <w:rsid w:val="00CF5FA6"/>
    <w:rsid w:val="00CF6643"/>
    <w:rsid w:val="00CF6756"/>
    <w:rsid w:val="00CF6C6C"/>
    <w:rsid w:val="00D028FF"/>
    <w:rsid w:val="00D10E48"/>
    <w:rsid w:val="00D123A5"/>
    <w:rsid w:val="00D17064"/>
    <w:rsid w:val="00D22076"/>
    <w:rsid w:val="00D2450C"/>
    <w:rsid w:val="00D30E26"/>
    <w:rsid w:val="00D31ED7"/>
    <w:rsid w:val="00D417BF"/>
    <w:rsid w:val="00D42D13"/>
    <w:rsid w:val="00D4303E"/>
    <w:rsid w:val="00D435C6"/>
    <w:rsid w:val="00D459EE"/>
    <w:rsid w:val="00D4698E"/>
    <w:rsid w:val="00D505BD"/>
    <w:rsid w:val="00D514D1"/>
    <w:rsid w:val="00D52171"/>
    <w:rsid w:val="00D53149"/>
    <w:rsid w:val="00D53DFF"/>
    <w:rsid w:val="00D60190"/>
    <w:rsid w:val="00D61A03"/>
    <w:rsid w:val="00D61E50"/>
    <w:rsid w:val="00D668A8"/>
    <w:rsid w:val="00D70CCB"/>
    <w:rsid w:val="00D71E8F"/>
    <w:rsid w:val="00D72651"/>
    <w:rsid w:val="00D7490A"/>
    <w:rsid w:val="00D774FE"/>
    <w:rsid w:val="00D7750D"/>
    <w:rsid w:val="00D8062A"/>
    <w:rsid w:val="00D8214B"/>
    <w:rsid w:val="00D93335"/>
    <w:rsid w:val="00D951CF"/>
    <w:rsid w:val="00D95587"/>
    <w:rsid w:val="00D96B07"/>
    <w:rsid w:val="00DA072F"/>
    <w:rsid w:val="00DA235C"/>
    <w:rsid w:val="00DA4D94"/>
    <w:rsid w:val="00DB03E1"/>
    <w:rsid w:val="00DB2DF5"/>
    <w:rsid w:val="00DB74B8"/>
    <w:rsid w:val="00DC6BA1"/>
    <w:rsid w:val="00DC6BC8"/>
    <w:rsid w:val="00DD0466"/>
    <w:rsid w:val="00DD7B90"/>
    <w:rsid w:val="00DE4FED"/>
    <w:rsid w:val="00DF0F56"/>
    <w:rsid w:val="00DF1D5E"/>
    <w:rsid w:val="00DF4C72"/>
    <w:rsid w:val="00E03120"/>
    <w:rsid w:val="00E04935"/>
    <w:rsid w:val="00E13CDA"/>
    <w:rsid w:val="00E24F4C"/>
    <w:rsid w:val="00E33842"/>
    <w:rsid w:val="00E43442"/>
    <w:rsid w:val="00E469FF"/>
    <w:rsid w:val="00E50062"/>
    <w:rsid w:val="00E55E5D"/>
    <w:rsid w:val="00E65C56"/>
    <w:rsid w:val="00E6657C"/>
    <w:rsid w:val="00E73D17"/>
    <w:rsid w:val="00E75254"/>
    <w:rsid w:val="00E84357"/>
    <w:rsid w:val="00E91D36"/>
    <w:rsid w:val="00EA0D02"/>
    <w:rsid w:val="00EA343E"/>
    <w:rsid w:val="00EA3651"/>
    <w:rsid w:val="00EA6421"/>
    <w:rsid w:val="00EB07EE"/>
    <w:rsid w:val="00EB0BB2"/>
    <w:rsid w:val="00EB225C"/>
    <w:rsid w:val="00EB2919"/>
    <w:rsid w:val="00EB5AF0"/>
    <w:rsid w:val="00EB72D7"/>
    <w:rsid w:val="00EB77D1"/>
    <w:rsid w:val="00EC1878"/>
    <w:rsid w:val="00EC557D"/>
    <w:rsid w:val="00EC6367"/>
    <w:rsid w:val="00EC7023"/>
    <w:rsid w:val="00EE0207"/>
    <w:rsid w:val="00EE1A56"/>
    <w:rsid w:val="00EE76E0"/>
    <w:rsid w:val="00EE7B37"/>
    <w:rsid w:val="00EE7D6C"/>
    <w:rsid w:val="00EF039A"/>
    <w:rsid w:val="00EF1585"/>
    <w:rsid w:val="00EF1D53"/>
    <w:rsid w:val="00F00BEA"/>
    <w:rsid w:val="00F01443"/>
    <w:rsid w:val="00F015D8"/>
    <w:rsid w:val="00F01DA5"/>
    <w:rsid w:val="00F0369B"/>
    <w:rsid w:val="00F037A7"/>
    <w:rsid w:val="00F11583"/>
    <w:rsid w:val="00F11E9E"/>
    <w:rsid w:val="00F17138"/>
    <w:rsid w:val="00F20F14"/>
    <w:rsid w:val="00F26312"/>
    <w:rsid w:val="00F311F5"/>
    <w:rsid w:val="00F32B9E"/>
    <w:rsid w:val="00F34B41"/>
    <w:rsid w:val="00F367C2"/>
    <w:rsid w:val="00F400F2"/>
    <w:rsid w:val="00F50861"/>
    <w:rsid w:val="00F56B8D"/>
    <w:rsid w:val="00F759EF"/>
    <w:rsid w:val="00F76039"/>
    <w:rsid w:val="00F77813"/>
    <w:rsid w:val="00F8188A"/>
    <w:rsid w:val="00F820F2"/>
    <w:rsid w:val="00F83E5E"/>
    <w:rsid w:val="00F86847"/>
    <w:rsid w:val="00F93FE8"/>
    <w:rsid w:val="00F962B1"/>
    <w:rsid w:val="00F976CF"/>
    <w:rsid w:val="00FA0301"/>
    <w:rsid w:val="00FA0D5D"/>
    <w:rsid w:val="00FB3EA4"/>
    <w:rsid w:val="00FB4A1C"/>
    <w:rsid w:val="00FB7032"/>
    <w:rsid w:val="00FB7C95"/>
    <w:rsid w:val="00FC0C99"/>
    <w:rsid w:val="00FC5C78"/>
    <w:rsid w:val="00FD19EE"/>
    <w:rsid w:val="00FD210D"/>
    <w:rsid w:val="00FD2E9B"/>
    <w:rsid w:val="00FE2403"/>
    <w:rsid w:val="00FE4BF2"/>
    <w:rsid w:val="00FE687D"/>
    <w:rsid w:val="00FE7C1D"/>
    <w:rsid w:val="00FF0D29"/>
    <w:rsid w:val="00F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0B4E1"/>
  <w15:chartTrackingRefBased/>
  <w15:docId w15:val="{695FA280-1940-4B0B-9805-4A3D8A27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D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0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dfa.state.nm.us/lgbms.aspx" TargetMode="External"/><Relationship Id="rId5" Type="http://schemas.openxmlformats.org/officeDocument/2006/relationships/hyperlink" Target="http://www.nmdfa.state.nm.us/bfb-form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Suazo-Giles</dc:creator>
  <cp:keywords/>
  <dc:description/>
  <cp:lastModifiedBy>Suazo-Giles, Brenda, DFA</cp:lastModifiedBy>
  <cp:revision>3</cp:revision>
  <dcterms:created xsi:type="dcterms:W3CDTF">2020-12-07T21:04:00Z</dcterms:created>
  <dcterms:modified xsi:type="dcterms:W3CDTF">2021-12-08T17:13:00Z</dcterms:modified>
</cp:coreProperties>
</file>