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1F7E" w:rsidRPr="00C06094" w:rsidRDefault="007B1F7E" w:rsidP="007B1F7E">
      <w:pPr>
        <w:pStyle w:val="NormalWeb"/>
        <w:spacing w:before="0" w:beforeAutospacing="0" w:after="0" w:afterAutospacing="0"/>
        <w:jc w:val="center"/>
        <w:rPr>
          <w:rFonts w:ascii="Tahoma" w:hAnsi="Tahoma" w:cs="Tahoma"/>
          <w:b/>
          <w:bCs/>
          <w:sz w:val="28"/>
          <w:szCs w:val="28"/>
        </w:rPr>
      </w:pPr>
      <w:bookmarkStart w:id="0" w:name="_GoBack"/>
      <w:bookmarkEnd w:id="0"/>
      <w:r w:rsidRPr="00C06094">
        <w:rPr>
          <w:rFonts w:ascii="Tahoma" w:hAnsi="Tahoma" w:cs="Tahoma"/>
          <w:b/>
          <w:bCs/>
          <w:sz w:val="28"/>
          <w:szCs w:val="28"/>
        </w:rPr>
        <w:t>Exhibit 2-F-1</w:t>
      </w:r>
    </w:p>
    <w:p w:rsidR="007B1F7E" w:rsidRPr="00C06094" w:rsidRDefault="007B1F7E" w:rsidP="007B1F7E">
      <w:pPr>
        <w:pStyle w:val="NormalWeb"/>
        <w:spacing w:before="0" w:beforeAutospacing="0" w:after="0" w:afterAutospacing="0"/>
        <w:jc w:val="center"/>
        <w:rPr>
          <w:rFonts w:ascii="Tahoma" w:hAnsi="Tahoma" w:cs="Tahoma"/>
          <w:b/>
          <w:bCs/>
          <w:sz w:val="28"/>
          <w:szCs w:val="28"/>
        </w:rPr>
      </w:pPr>
      <w:r w:rsidRPr="00C06094">
        <w:rPr>
          <w:rFonts w:ascii="Tahoma" w:hAnsi="Tahoma" w:cs="Tahoma"/>
          <w:b/>
          <w:bCs/>
          <w:sz w:val="28"/>
          <w:szCs w:val="28"/>
        </w:rPr>
        <w:t>Insurance Coverage</w:t>
      </w:r>
    </w:p>
    <w:p w:rsidR="007B1F7E" w:rsidRPr="00AF4D3F" w:rsidRDefault="007B1F7E" w:rsidP="007B1F7E">
      <w:pPr>
        <w:pStyle w:val="NormalWeb"/>
        <w:spacing w:before="0" w:beforeAutospacing="0" w:after="0" w:afterAutospacing="0"/>
        <w:rPr>
          <w:rFonts w:ascii="Tahoma" w:hAnsi="Tahoma" w:cs="Tahoma"/>
          <w:b/>
          <w:bCs/>
          <w:sz w:val="20"/>
          <w:szCs w:val="20"/>
        </w:rPr>
      </w:pPr>
    </w:p>
    <w:p w:rsidR="007B1F7E" w:rsidRPr="00AF4D3F" w:rsidRDefault="007B1F7E" w:rsidP="007B1F7E">
      <w:pPr>
        <w:pStyle w:val="NormalWeb"/>
        <w:spacing w:before="0" w:beforeAutospacing="0" w:after="0" w:afterAutospacing="0"/>
        <w:rPr>
          <w:rFonts w:ascii="Tahoma" w:hAnsi="Tahoma" w:cs="Tahoma"/>
          <w:sz w:val="20"/>
          <w:szCs w:val="20"/>
        </w:rPr>
      </w:pPr>
    </w:p>
    <w:p w:rsidR="007B1F7E" w:rsidRPr="00AF4D3F" w:rsidRDefault="007B1F7E" w:rsidP="007B1F7E">
      <w:pPr>
        <w:pStyle w:val="NormalWeb"/>
        <w:spacing w:before="0" w:beforeAutospacing="0" w:after="0" w:afterAutospacing="0"/>
        <w:rPr>
          <w:rFonts w:ascii="Tahoma" w:hAnsi="Tahoma" w:cs="Tahoma"/>
          <w:sz w:val="20"/>
          <w:szCs w:val="20"/>
        </w:rPr>
      </w:pPr>
      <w:r w:rsidRPr="00AF4D3F">
        <w:rPr>
          <w:rFonts w:ascii="Tahoma" w:hAnsi="Tahoma" w:cs="Tahoma"/>
          <w:b/>
          <w:bCs/>
          <w:sz w:val="20"/>
          <w:szCs w:val="20"/>
        </w:rPr>
        <w:t>Question</w:t>
      </w:r>
      <w:r w:rsidRPr="00AF4D3F">
        <w:rPr>
          <w:rFonts w:ascii="Tahoma" w:hAnsi="Tahoma" w:cs="Tahoma"/>
          <w:sz w:val="20"/>
          <w:szCs w:val="20"/>
        </w:rPr>
        <w:t xml:space="preserve">: </w:t>
      </w:r>
    </w:p>
    <w:p w:rsidR="007B1F7E" w:rsidRPr="00AF4D3F" w:rsidRDefault="007B1F7E" w:rsidP="007B1F7E">
      <w:pPr>
        <w:pStyle w:val="NormalWeb"/>
        <w:spacing w:before="0" w:beforeAutospacing="0" w:after="0" w:afterAutospacing="0"/>
        <w:rPr>
          <w:rFonts w:ascii="Tahoma" w:hAnsi="Tahoma" w:cs="Tahoma"/>
          <w:sz w:val="20"/>
          <w:szCs w:val="20"/>
        </w:rPr>
      </w:pPr>
    </w:p>
    <w:p w:rsidR="007B1F7E" w:rsidRPr="00AF4D3F" w:rsidRDefault="007B1F7E" w:rsidP="007B1F7E">
      <w:pPr>
        <w:pStyle w:val="NormalWeb"/>
        <w:spacing w:before="0" w:beforeAutospacing="0" w:after="0" w:afterAutospacing="0"/>
        <w:ind w:left="748"/>
        <w:rPr>
          <w:rFonts w:ascii="Tahoma" w:hAnsi="Tahoma" w:cs="Tahoma"/>
          <w:sz w:val="20"/>
          <w:szCs w:val="20"/>
        </w:rPr>
      </w:pPr>
      <w:r w:rsidRPr="00AF4D3F">
        <w:rPr>
          <w:rFonts w:ascii="Tahoma" w:hAnsi="Tahoma" w:cs="Tahoma"/>
          <w:sz w:val="20"/>
          <w:szCs w:val="20"/>
        </w:rPr>
        <w:tab/>
        <w:t xml:space="preserve">What duration and amount of flood insurance coverage is required? </w:t>
      </w:r>
    </w:p>
    <w:p w:rsidR="007B1F7E" w:rsidRPr="00AF4D3F" w:rsidRDefault="007B1F7E" w:rsidP="007B1F7E">
      <w:pPr>
        <w:pStyle w:val="NormalWeb"/>
        <w:spacing w:before="0" w:beforeAutospacing="0" w:after="0" w:afterAutospacing="0"/>
        <w:rPr>
          <w:rFonts w:ascii="Tahoma" w:hAnsi="Tahoma" w:cs="Tahoma"/>
          <w:sz w:val="20"/>
          <w:szCs w:val="20"/>
        </w:rPr>
      </w:pPr>
    </w:p>
    <w:p w:rsidR="007B1F7E" w:rsidRPr="00AF4D3F" w:rsidRDefault="007B1F7E" w:rsidP="007B1F7E">
      <w:pPr>
        <w:pStyle w:val="NormalWeb"/>
        <w:spacing w:before="0" w:beforeAutospacing="0" w:after="0" w:afterAutospacing="0"/>
        <w:rPr>
          <w:rFonts w:ascii="Tahoma" w:hAnsi="Tahoma" w:cs="Tahoma"/>
          <w:sz w:val="20"/>
          <w:szCs w:val="20"/>
        </w:rPr>
      </w:pPr>
      <w:r w:rsidRPr="00AF4D3F">
        <w:rPr>
          <w:rFonts w:ascii="Tahoma" w:hAnsi="Tahoma" w:cs="Tahoma"/>
          <w:b/>
          <w:bCs/>
          <w:sz w:val="20"/>
          <w:szCs w:val="20"/>
        </w:rPr>
        <w:t>Answer</w:t>
      </w:r>
      <w:r w:rsidRPr="00AF4D3F">
        <w:rPr>
          <w:rFonts w:ascii="Tahoma" w:hAnsi="Tahoma" w:cs="Tahoma"/>
          <w:sz w:val="20"/>
          <w:szCs w:val="20"/>
        </w:rPr>
        <w:t>:</w:t>
      </w:r>
    </w:p>
    <w:p w:rsidR="007B1F7E" w:rsidRPr="00AF4D3F" w:rsidRDefault="007B1F7E" w:rsidP="007B1F7E">
      <w:pPr>
        <w:pStyle w:val="NormalWeb"/>
        <w:spacing w:before="0" w:beforeAutospacing="0" w:after="0" w:afterAutospacing="0"/>
        <w:rPr>
          <w:rFonts w:ascii="Tahoma" w:hAnsi="Tahoma" w:cs="Tahoma"/>
          <w:sz w:val="20"/>
          <w:szCs w:val="20"/>
        </w:rPr>
      </w:pPr>
    </w:p>
    <w:p w:rsidR="007B1F7E" w:rsidRPr="00AF4D3F" w:rsidRDefault="007B1F7E" w:rsidP="007B1F7E">
      <w:pPr>
        <w:pStyle w:val="NormalWeb"/>
        <w:spacing w:before="0" w:beforeAutospacing="0" w:after="0" w:afterAutospacing="0"/>
        <w:ind w:left="748"/>
        <w:rPr>
          <w:rFonts w:ascii="Tahoma" w:hAnsi="Tahoma" w:cs="Tahoma"/>
          <w:sz w:val="20"/>
          <w:szCs w:val="20"/>
        </w:rPr>
      </w:pPr>
      <w:r w:rsidRPr="00AF4D3F">
        <w:rPr>
          <w:rFonts w:ascii="Tahoma" w:hAnsi="Tahoma" w:cs="Tahoma"/>
          <w:sz w:val="20"/>
          <w:szCs w:val="20"/>
        </w:rPr>
        <w:tab/>
        <w:t>The Flood Disaster Protection Act of 1973 (</w:t>
      </w:r>
      <w:hyperlink r:id="rId5" w:history="1">
        <w:r w:rsidRPr="00AF4D3F">
          <w:rPr>
            <w:rStyle w:val="Hyperlink"/>
            <w:rFonts w:ascii="Tahoma" w:hAnsi="Tahoma" w:cs="Tahoma"/>
            <w:sz w:val="20"/>
            <w:szCs w:val="20"/>
          </w:rPr>
          <w:t>42 U.S.C. 4001-4128</w:t>
        </w:r>
      </w:hyperlink>
      <w:r w:rsidRPr="00AF4D3F">
        <w:rPr>
          <w:rFonts w:ascii="Tahoma" w:hAnsi="Tahoma" w:cs="Tahoma"/>
          <w:sz w:val="20"/>
          <w:szCs w:val="20"/>
        </w:rPr>
        <w:t>) as amended by the National Flood Insurance Reform Act of 1994 (</w:t>
      </w:r>
      <w:proofErr w:type="spellStart"/>
      <w:r w:rsidRPr="00AF4D3F">
        <w:rPr>
          <w:rFonts w:ascii="Tahoma" w:hAnsi="Tahoma" w:cs="Tahoma"/>
          <w:sz w:val="20"/>
          <w:szCs w:val="20"/>
        </w:rPr>
        <w:t>Pub.L</w:t>
      </w:r>
      <w:proofErr w:type="spellEnd"/>
      <w:r w:rsidRPr="00AF4D3F">
        <w:rPr>
          <w:rFonts w:ascii="Tahoma" w:hAnsi="Tahoma" w:cs="Tahoma"/>
          <w:sz w:val="20"/>
          <w:szCs w:val="20"/>
        </w:rPr>
        <w:t>. 103-325, 108 Stat. 2160) prescribes the duration and dollar amount of flood insurance under Sections 3 and 102 of the Act.</w:t>
      </w:r>
    </w:p>
    <w:p w:rsidR="007B1F7E" w:rsidRPr="00AF4D3F" w:rsidRDefault="007B1F7E" w:rsidP="007B1F7E">
      <w:pPr>
        <w:pStyle w:val="NormalWeb"/>
        <w:spacing w:before="0" w:beforeAutospacing="0" w:after="0" w:afterAutospacing="0"/>
        <w:ind w:left="748"/>
        <w:rPr>
          <w:rFonts w:ascii="Tahoma" w:hAnsi="Tahoma" w:cs="Tahoma"/>
          <w:sz w:val="20"/>
          <w:szCs w:val="20"/>
        </w:rPr>
      </w:pPr>
    </w:p>
    <w:p w:rsidR="007B1F7E" w:rsidRPr="00AF4D3F" w:rsidRDefault="007B1F7E" w:rsidP="007B1F7E">
      <w:pPr>
        <w:pStyle w:val="NormalWeb"/>
        <w:spacing w:before="0" w:beforeAutospacing="0" w:after="0" w:afterAutospacing="0"/>
        <w:ind w:left="748"/>
        <w:rPr>
          <w:rFonts w:ascii="Tahoma" w:hAnsi="Tahoma" w:cs="Tahoma"/>
          <w:sz w:val="20"/>
          <w:szCs w:val="20"/>
        </w:rPr>
      </w:pPr>
    </w:p>
    <w:p w:rsidR="007B1F7E" w:rsidRPr="00AF4D3F" w:rsidRDefault="007B1F7E" w:rsidP="007B1F7E">
      <w:pPr>
        <w:pStyle w:val="NormalWeb"/>
        <w:spacing w:before="0" w:beforeAutospacing="0" w:after="0" w:afterAutospacing="0"/>
        <w:rPr>
          <w:rFonts w:ascii="Tahoma" w:hAnsi="Tahoma" w:cs="Tahoma"/>
          <w:sz w:val="20"/>
          <w:szCs w:val="20"/>
        </w:rPr>
      </w:pPr>
      <w:r w:rsidRPr="00AF4D3F">
        <w:rPr>
          <w:rFonts w:ascii="Tahoma" w:hAnsi="Tahoma" w:cs="Tahoma"/>
          <w:b/>
          <w:bCs/>
          <w:sz w:val="20"/>
          <w:szCs w:val="20"/>
        </w:rPr>
        <w:tab/>
        <w:t>Duration of Coverage</w:t>
      </w:r>
      <w:r w:rsidRPr="00AF4D3F">
        <w:rPr>
          <w:rFonts w:ascii="Tahoma" w:hAnsi="Tahoma" w:cs="Tahoma"/>
          <w:sz w:val="20"/>
          <w:szCs w:val="20"/>
        </w:rPr>
        <w:t xml:space="preserve">: </w:t>
      </w:r>
    </w:p>
    <w:p w:rsidR="007B1F7E" w:rsidRPr="00AF4D3F" w:rsidRDefault="007B1F7E" w:rsidP="007B1F7E">
      <w:pPr>
        <w:pStyle w:val="NormalWeb"/>
        <w:spacing w:before="0" w:beforeAutospacing="0" w:after="0" w:afterAutospacing="0"/>
        <w:rPr>
          <w:rFonts w:ascii="Tahoma" w:hAnsi="Tahoma" w:cs="Tahoma"/>
          <w:sz w:val="20"/>
          <w:szCs w:val="20"/>
        </w:rPr>
      </w:pPr>
    </w:p>
    <w:p w:rsidR="007B1F7E" w:rsidRPr="00AF4D3F" w:rsidRDefault="007B1F7E" w:rsidP="007B1F7E">
      <w:pPr>
        <w:pStyle w:val="NormalWeb"/>
        <w:spacing w:before="0" w:beforeAutospacing="0" w:after="0" w:afterAutospacing="0"/>
        <w:ind w:left="748"/>
        <w:rPr>
          <w:rFonts w:ascii="Tahoma" w:hAnsi="Tahoma" w:cs="Tahoma"/>
          <w:sz w:val="20"/>
          <w:szCs w:val="20"/>
        </w:rPr>
      </w:pPr>
      <w:r w:rsidRPr="00AF4D3F">
        <w:rPr>
          <w:rFonts w:ascii="Tahoma" w:hAnsi="Tahoma" w:cs="Tahoma"/>
          <w:sz w:val="20"/>
          <w:szCs w:val="20"/>
        </w:rPr>
        <w:tab/>
        <w:t>The statutory period for such coverage may extend beyond project completion. For loans, loan insurance or guaranty, coverage must be continued for the term of the loan. For grants and other non-loan forms of assistance, coverage must be continued for the life of the property, regardless of transfer of ownership of such property. Section 582(c) of the Community Development and Regulatory Improvement Act of 1994 mandates that "…The requirement of maintaining flood insurance shall apply during the life of the property, regardless of transfer of ownership of such property." (</w:t>
      </w:r>
      <w:hyperlink r:id="rId6" w:history="1">
        <w:r w:rsidRPr="00AF4D3F">
          <w:rPr>
            <w:rStyle w:val="Hyperlink"/>
            <w:rFonts w:ascii="Tahoma" w:hAnsi="Tahoma" w:cs="Tahoma"/>
            <w:sz w:val="20"/>
            <w:szCs w:val="20"/>
          </w:rPr>
          <w:t>42 U.S.C. 5154a</w:t>
        </w:r>
      </w:hyperlink>
      <w:r w:rsidRPr="00AF4D3F">
        <w:rPr>
          <w:rFonts w:ascii="Tahoma" w:hAnsi="Tahoma" w:cs="Tahoma"/>
          <w:sz w:val="20"/>
          <w:szCs w:val="20"/>
        </w:rPr>
        <w:t xml:space="preserve">) </w:t>
      </w:r>
    </w:p>
    <w:p w:rsidR="007B1F7E" w:rsidRPr="00AF4D3F" w:rsidRDefault="007B1F7E" w:rsidP="007B1F7E">
      <w:pPr>
        <w:pStyle w:val="NormalWeb"/>
        <w:spacing w:before="0" w:beforeAutospacing="0" w:after="0" w:afterAutospacing="0"/>
        <w:rPr>
          <w:rFonts w:ascii="Tahoma" w:hAnsi="Tahoma" w:cs="Tahoma"/>
          <w:sz w:val="20"/>
          <w:szCs w:val="20"/>
        </w:rPr>
      </w:pPr>
    </w:p>
    <w:p w:rsidR="007B1F7E" w:rsidRPr="00AF4D3F" w:rsidRDefault="007B1F7E" w:rsidP="007B1F7E">
      <w:pPr>
        <w:pStyle w:val="NormalWeb"/>
        <w:spacing w:before="0" w:beforeAutospacing="0" w:after="0" w:afterAutospacing="0"/>
        <w:rPr>
          <w:rFonts w:ascii="Tahoma" w:hAnsi="Tahoma" w:cs="Tahoma"/>
          <w:sz w:val="20"/>
          <w:szCs w:val="20"/>
        </w:rPr>
      </w:pPr>
    </w:p>
    <w:p w:rsidR="007B1F7E" w:rsidRPr="00AF4D3F" w:rsidRDefault="007B1F7E" w:rsidP="007B1F7E">
      <w:pPr>
        <w:pStyle w:val="NormalWeb"/>
        <w:spacing w:before="0" w:beforeAutospacing="0" w:after="0" w:afterAutospacing="0"/>
        <w:rPr>
          <w:rFonts w:ascii="Tahoma" w:hAnsi="Tahoma" w:cs="Tahoma"/>
          <w:sz w:val="20"/>
          <w:szCs w:val="20"/>
        </w:rPr>
      </w:pPr>
      <w:r w:rsidRPr="00AF4D3F">
        <w:rPr>
          <w:rFonts w:ascii="Tahoma" w:hAnsi="Tahoma" w:cs="Tahoma"/>
          <w:b/>
          <w:bCs/>
          <w:sz w:val="20"/>
          <w:szCs w:val="20"/>
        </w:rPr>
        <w:tab/>
        <w:t>Dollar Amount of Coverage</w:t>
      </w:r>
      <w:r w:rsidRPr="00AF4D3F">
        <w:rPr>
          <w:rFonts w:ascii="Tahoma" w:hAnsi="Tahoma" w:cs="Tahoma"/>
          <w:sz w:val="20"/>
          <w:szCs w:val="20"/>
        </w:rPr>
        <w:t xml:space="preserve">: </w:t>
      </w:r>
    </w:p>
    <w:p w:rsidR="007B1F7E" w:rsidRPr="00AF4D3F" w:rsidRDefault="007B1F7E" w:rsidP="007B1F7E">
      <w:pPr>
        <w:pStyle w:val="NormalWeb"/>
        <w:spacing w:before="0" w:beforeAutospacing="0" w:after="0" w:afterAutospacing="0"/>
        <w:rPr>
          <w:rFonts w:ascii="Tahoma" w:hAnsi="Tahoma" w:cs="Tahoma"/>
          <w:sz w:val="20"/>
          <w:szCs w:val="20"/>
        </w:rPr>
      </w:pPr>
    </w:p>
    <w:p w:rsidR="007B1F7E" w:rsidRPr="00AF4D3F" w:rsidRDefault="007B1F7E" w:rsidP="007B1F7E">
      <w:pPr>
        <w:pStyle w:val="NormalWeb"/>
        <w:spacing w:before="0" w:beforeAutospacing="0" w:after="0" w:afterAutospacing="0"/>
        <w:ind w:left="748"/>
        <w:rPr>
          <w:rFonts w:ascii="Tahoma" w:hAnsi="Tahoma" w:cs="Tahoma"/>
          <w:sz w:val="20"/>
          <w:szCs w:val="20"/>
        </w:rPr>
      </w:pPr>
      <w:r w:rsidRPr="00AF4D3F">
        <w:rPr>
          <w:rFonts w:ascii="Tahoma" w:hAnsi="Tahoma" w:cs="Tahoma"/>
          <w:sz w:val="20"/>
          <w:szCs w:val="20"/>
        </w:rPr>
        <w:tab/>
        <w:t xml:space="preserve">For loans, loan insurance or guaranty, the amount of coverage need not exceed the outstanding principal balance of the loan. For grants and other non-loan forms of assistance, the amount of coverage must be at least equal to the development or project cost (less estimated land cost, if any) or to the maximum limit of coverage made available by the Act with respect to the particular type of building involved (i.e., single family, other residential, or non-residential), whichever is less. The development or project cost is the total cost for acquiring, constructing, reconstructing, repairing, or improving the building. This cost must include both the </w:t>
      </w:r>
      <w:proofErr w:type="gramStart"/>
      <w:r w:rsidRPr="00AF4D3F">
        <w:rPr>
          <w:rFonts w:ascii="Tahoma" w:hAnsi="Tahoma" w:cs="Tahoma"/>
          <w:sz w:val="20"/>
          <w:szCs w:val="20"/>
        </w:rPr>
        <w:t>Federally</w:t>
      </w:r>
      <w:proofErr w:type="gramEnd"/>
      <w:r w:rsidRPr="00AF4D3F">
        <w:rPr>
          <w:rFonts w:ascii="Tahoma" w:hAnsi="Tahoma" w:cs="Tahoma"/>
          <w:sz w:val="20"/>
          <w:szCs w:val="20"/>
        </w:rPr>
        <w:t xml:space="preserve"> assisted and non-Federally assisted portion of the cost, including any machinery, equipment, fixtures, and furnishing. If the Federal assistance includes any portion of the cost of any machinery, equipment, fixtures or furnishing, the total cost of that item must be covered.</w:t>
      </w:r>
    </w:p>
    <w:p w:rsidR="007B1F7E" w:rsidRDefault="007B1F7E" w:rsidP="007B1F7E">
      <w:pPr>
        <w:rPr>
          <w:rFonts w:ascii="Tahoma" w:hAnsi="Tahoma" w:cs="Tahoma"/>
          <w:sz w:val="20"/>
          <w:szCs w:val="20"/>
        </w:rPr>
      </w:pPr>
    </w:p>
    <w:p w:rsidR="007B1F7E" w:rsidRDefault="007B1F7E" w:rsidP="007B1F7E">
      <w:pPr>
        <w:rPr>
          <w:rFonts w:ascii="Tahoma" w:hAnsi="Tahoma" w:cs="Tahoma"/>
          <w:sz w:val="20"/>
          <w:szCs w:val="20"/>
        </w:rPr>
      </w:pPr>
    </w:p>
    <w:p w:rsidR="007B1F7E" w:rsidRDefault="007B1F7E" w:rsidP="007B1F7E">
      <w:pPr>
        <w:rPr>
          <w:rFonts w:ascii="Tahoma" w:hAnsi="Tahoma" w:cs="Tahoma"/>
          <w:sz w:val="20"/>
          <w:szCs w:val="20"/>
        </w:rPr>
      </w:pPr>
    </w:p>
    <w:p w:rsidR="007B1F7E" w:rsidRDefault="007B1F7E" w:rsidP="007B1F7E">
      <w:pPr>
        <w:rPr>
          <w:rFonts w:ascii="Tahoma" w:hAnsi="Tahoma" w:cs="Tahoma"/>
          <w:sz w:val="20"/>
          <w:szCs w:val="20"/>
        </w:rPr>
      </w:pPr>
    </w:p>
    <w:p w:rsidR="007B1F7E" w:rsidRDefault="007B1F7E" w:rsidP="007B1F7E">
      <w:pPr>
        <w:rPr>
          <w:rFonts w:ascii="Tahoma" w:hAnsi="Tahoma" w:cs="Tahoma"/>
          <w:sz w:val="20"/>
          <w:szCs w:val="20"/>
        </w:rPr>
      </w:pPr>
    </w:p>
    <w:p w:rsidR="007B1F7E" w:rsidRDefault="007B1F7E" w:rsidP="007B1F7E">
      <w:pPr>
        <w:rPr>
          <w:rFonts w:ascii="Tahoma" w:hAnsi="Tahoma" w:cs="Tahoma"/>
          <w:sz w:val="20"/>
          <w:szCs w:val="20"/>
        </w:rPr>
      </w:pPr>
    </w:p>
    <w:p w:rsidR="007B1F7E" w:rsidRDefault="007B1F7E" w:rsidP="007B1F7E">
      <w:pPr>
        <w:rPr>
          <w:rFonts w:ascii="Tahoma" w:hAnsi="Tahoma" w:cs="Tahoma"/>
          <w:sz w:val="20"/>
          <w:szCs w:val="20"/>
        </w:rPr>
      </w:pPr>
    </w:p>
    <w:p w:rsidR="007B1F7E" w:rsidRDefault="007B1F7E" w:rsidP="007B1F7E">
      <w:pPr>
        <w:rPr>
          <w:rFonts w:ascii="Tahoma" w:hAnsi="Tahoma" w:cs="Tahoma"/>
          <w:sz w:val="20"/>
          <w:szCs w:val="20"/>
        </w:rPr>
      </w:pPr>
    </w:p>
    <w:p w:rsidR="00ED2E01" w:rsidRDefault="00ED2E01"/>
    <w:sectPr w:rsidR="00ED2E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F7E"/>
    <w:rsid w:val="007B1F7E"/>
    <w:rsid w:val="00823B02"/>
    <w:rsid w:val="00AA07A4"/>
    <w:rsid w:val="00AA2A96"/>
    <w:rsid w:val="00AF403E"/>
    <w:rsid w:val="00ED2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F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1F7E"/>
    <w:rPr>
      <w:rFonts w:cs="Times New Roman"/>
      <w:color w:val="0000FF"/>
      <w:u w:val="single"/>
    </w:rPr>
  </w:style>
  <w:style w:type="paragraph" w:styleId="NormalWeb">
    <w:name w:val="Normal (Web)"/>
    <w:basedOn w:val="Normal"/>
    <w:link w:val="NormalWebChar"/>
    <w:rsid w:val="007B1F7E"/>
    <w:pPr>
      <w:spacing w:before="100" w:beforeAutospacing="1" w:after="100" w:afterAutospacing="1"/>
    </w:pPr>
  </w:style>
  <w:style w:type="character" w:customStyle="1" w:styleId="NormalWebChar">
    <w:name w:val="Normal (Web) Char"/>
    <w:link w:val="NormalWeb"/>
    <w:rsid w:val="007B1F7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1F7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B1F7E"/>
    <w:rPr>
      <w:rFonts w:cs="Times New Roman"/>
      <w:color w:val="0000FF"/>
      <w:u w:val="single"/>
    </w:rPr>
  </w:style>
  <w:style w:type="paragraph" w:styleId="NormalWeb">
    <w:name w:val="Normal (Web)"/>
    <w:basedOn w:val="Normal"/>
    <w:link w:val="NormalWebChar"/>
    <w:rsid w:val="007B1F7E"/>
    <w:pPr>
      <w:spacing w:before="100" w:beforeAutospacing="1" w:after="100" w:afterAutospacing="1"/>
    </w:pPr>
  </w:style>
  <w:style w:type="character" w:customStyle="1" w:styleId="NormalWebChar">
    <w:name w:val="Normal (Web) Char"/>
    <w:link w:val="NormalWeb"/>
    <w:rsid w:val="007B1F7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hud.gov/offices/cpd/environment/lawsandregs/laws/requirements/42usc/5154a.cfm" TargetMode="External"/><Relationship Id="rId5" Type="http://schemas.openxmlformats.org/officeDocument/2006/relationships/hyperlink" Target="http://www.hud.gov/offices/cpd/environment/lawsandregs/laws/requirements/42usc/4001.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DF10E38</Template>
  <TotalTime>0</TotalTime>
  <Pages>1</Pages>
  <Words>328</Words>
  <Characters>1873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Romero</dc:creator>
  <cp:lastModifiedBy>Simon P. Saiz</cp:lastModifiedBy>
  <cp:revision>2</cp:revision>
  <dcterms:created xsi:type="dcterms:W3CDTF">2013-07-19T21:02:00Z</dcterms:created>
  <dcterms:modified xsi:type="dcterms:W3CDTF">2013-07-19T21:02:00Z</dcterms:modified>
</cp:coreProperties>
</file>