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F853" w14:textId="60EFB1FF" w:rsidR="00010970" w:rsidRPr="00752BDD" w:rsidRDefault="00752BDD" w:rsidP="00752BDD">
      <w:pPr>
        <w:spacing w:after="60"/>
        <w:jc w:val="center"/>
        <w:rPr>
          <w:rFonts w:ascii="Times New Roman" w:hAnsi="Times New Roman" w:cs="Times New Roman"/>
          <w:b/>
          <w:bCs/>
          <w:sz w:val="28"/>
          <w:szCs w:val="28"/>
        </w:rPr>
      </w:pPr>
      <w:r w:rsidRPr="00752BDD">
        <w:rPr>
          <w:rFonts w:ascii="Times New Roman" w:hAnsi="Times New Roman" w:cs="Times New Roman"/>
          <w:b/>
          <w:bCs/>
          <w:sz w:val="28"/>
          <w:szCs w:val="28"/>
        </w:rPr>
        <w:t>GASB 101 Implementation Commonly Asked Questions</w:t>
      </w:r>
    </w:p>
    <w:p w14:paraId="45883B8A" w14:textId="3947665C" w:rsidR="005C44F9" w:rsidRPr="005C44F9" w:rsidRDefault="00752BDD" w:rsidP="005C44F9">
      <w:pPr>
        <w:jc w:val="center"/>
        <w:rPr>
          <w:rFonts w:ascii="Times New Roman" w:hAnsi="Times New Roman" w:cs="Times New Roman"/>
          <w:b/>
          <w:bCs/>
          <w:i/>
          <w:iCs/>
        </w:rPr>
      </w:pPr>
      <w:r w:rsidRPr="00752BDD">
        <w:rPr>
          <w:rFonts w:ascii="Times New Roman" w:hAnsi="Times New Roman" w:cs="Times New Roman"/>
          <w:b/>
          <w:bCs/>
          <w:i/>
          <w:iCs/>
        </w:rPr>
        <w:t>New Mexico Department of Finance and Administration</w:t>
      </w:r>
    </w:p>
    <w:p w14:paraId="7816B048" w14:textId="33CC16B0" w:rsidR="00675C32" w:rsidRPr="005C44F9" w:rsidRDefault="00675C32" w:rsidP="0007383A">
      <w:pPr>
        <w:pStyle w:val="ListParagraph"/>
        <w:numPr>
          <w:ilvl w:val="0"/>
          <w:numId w:val="7"/>
        </w:numPr>
        <w:ind w:left="360"/>
        <w:jc w:val="both"/>
        <w:rPr>
          <w:rFonts w:ascii="Times New Roman" w:hAnsi="Times New Roman" w:cs="Times New Roman"/>
          <w:b/>
          <w:bCs/>
        </w:rPr>
      </w:pPr>
      <w:r w:rsidRPr="005C44F9">
        <w:rPr>
          <w:rFonts w:ascii="Times New Roman" w:hAnsi="Times New Roman" w:cs="Times New Roman"/>
          <w:b/>
          <w:bCs/>
        </w:rPr>
        <w:t>Is our</w:t>
      </w:r>
      <w:r w:rsidR="005C44F9" w:rsidRPr="005C44F9">
        <w:rPr>
          <w:rFonts w:ascii="Times New Roman" w:hAnsi="Times New Roman" w:cs="Times New Roman"/>
          <w:b/>
          <w:bCs/>
        </w:rPr>
        <w:t xml:space="preserve"> compensated absence</w:t>
      </w:r>
      <w:r w:rsidRPr="005C44F9">
        <w:rPr>
          <w:rFonts w:ascii="Times New Roman" w:hAnsi="Times New Roman" w:cs="Times New Roman"/>
          <w:b/>
          <w:bCs/>
        </w:rPr>
        <w:t xml:space="preserve"> liability going to </w:t>
      </w:r>
      <w:r w:rsidR="005C44F9" w:rsidRPr="005C44F9">
        <w:rPr>
          <w:rFonts w:ascii="Times New Roman" w:hAnsi="Times New Roman" w:cs="Times New Roman"/>
          <w:b/>
          <w:bCs/>
        </w:rPr>
        <w:t>drastically increase</w:t>
      </w:r>
      <w:r w:rsidRPr="005C44F9">
        <w:rPr>
          <w:rFonts w:ascii="Times New Roman" w:hAnsi="Times New Roman" w:cs="Times New Roman"/>
          <w:b/>
          <w:bCs/>
        </w:rPr>
        <w:t>?</w:t>
      </w:r>
    </w:p>
    <w:p w14:paraId="279F997B" w14:textId="0C65D274" w:rsidR="00675C32" w:rsidRPr="005C44F9" w:rsidRDefault="005C44F9" w:rsidP="0007383A">
      <w:pPr>
        <w:ind w:left="360"/>
        <w:jc w:val="both"/>
        <w:rPr>
          <w:rFonts w:ascii="Times New Roman" w:hAnsi="Times New Roman" w:cs="Times New Roman"/>
        </w:rPr>
      </w:pPr>
      <w:r>
        <w:rPr>
          <w:rFonts w:ascii="Times New Roman" w:hAnsi="Times New Roman" w:cs="Times New Roman"/>
        </w:rPr>
        <w:t xml:space="preserve">Because of the new recognition criteria set forth in Statement No. 101, it is likely that most agencies will now be including a type of leave or a component of leave (e.g., usage of sick leave) that has not been previously included in their compensated absence liability calculations, leading to an increase in the reported liability. However, this is common with the implementation of Statement No. 101 and something that is being experienced by many governments. </w:t>
      </w:r>
    </w:p>
    <w:p w14:paraId="30CFDE46" w14:textId="7C0C9917" w:rsidR="00675C32" w:rsidRPr="005C44F9" w:rsidRDefault="00AC6E76" w:rsidP="0007383A">
      <w:pPr>
        <w:pStyle w:val="ListParagraph"/>
        <w:numPr>
          <w:ilvl w:val="0"/>
          <w:numId w:val="7"/>
        </w:numPr>
        <w:ind w:left="360"/>
        <w:jc w:val="both"/>
        <w:rPr>
          <w:rFonts w:ascii="Times New Roman" w:hAnsi="Times New Roman" w:cs="Times New Roman"/>
          <w:b/>
          <w:bCs/>
        </w:rPr>
      </w:pPr>
      <w:r>
        <w:rPr>
          <w:rFonts w:ascii="Times New Roman" w:hAnsi="Times New Roman" w:cs="Times New Roman"/>
          <w:b/>
          <w:bCs/>
        </w:rPr>
        <w:t>I’ve been hearing a lot about a “flows assumption,” but I don’t understand what that has to do with compensated absences. Do I need to specify a flows assumption for my agency?</w:t>
      </w:r>
    </w:p>
    <w:p w14:paraId="08C773DB" w14:textId="2F7CFE20" w:rsidR="00AC6E76" w:rsidRDefault="00AC6E76" w:rsidP="0007383A">
      <w:pPr>
        <w:ind w:left="360"/>
        <w:jc w:val="both"/>
        <w:rPr>
          <w:rFonts w:ascii="Times New Roman" w:hAnsi="Times New Roman" w:cs="Times New Roman"/>
        </w:rPr>
      </w:pPr>
      <w:r w:rsidRPr="00AC6E76">
        <w:rPr>
          <w:rFonts w:ascii="Times New Roman" w:hAnsi="Times New Roman" w:cs="Times New Roman"/>
        </w:rPr>
        <w:t xml:space="preserve">The flows assumption determines the pattern of usage of compensated absences, and therefore, impacts the liability to be presented in an entity's financial statements. </w:t>
      </w:r>
      <w:r>
        <w:rPr>
          <w:rFonts w:ascii="Times New Roman" w:hAnsi="Times New Roman" w:cs="Times New Roman"/>
        </w:rPr>
        <w:t xml:space="preserve">In developing its guidance, the Department of Finance and Administration determined that all agencies would utilize the FIFO flows assumption, so individual agencies </w:t>
      </w:r>
      <w:r>
        <w:rPr>
          <w:rFonts w:ascii="Times New Roman" w:hAnsi="Times New Roman" w:cs="Times New Roman"/>
          <w:i/>
          <w:iCs/>
        </w:rPr>
        <w:t>do not</w:t>
      </w:r>
      <w:r>
        <w:rPr>
          <w:rFonts w:ascii="Times New Roman" w:hAnsi="Times New Roman" w:cs="Times New Roman"/>
        </w:rPr>
        <w:t xml:space="preserve"> need to identify a flows assumption. This is specified in MAPs. </w:t>
      </w:r>
    </w:p>
    <w:p w14:paraId="7536B4AD" w14:textId="70394194" w:rsidR="00AC6E76" w:rsidRDefault="00AC6E76" w:rsidP="0007383A">
      <w:pPr>
        <w:ind w:left="360"/>
        <w:jc w:val="both"/>
        <w:rPr>
          <w:rFonts w:ascii="Times New Roman" w:hAnsi="Times New Roman" w:cs="Times New Roman"/>
        </w:rPr>
      </w:pPr>
      <w:r>
        <w:rPr>
          <w:rFonts w:ascii="Times New Roman" w:hAnsi="Times New Roman" w:cs="Times New Roman"/>
        </w:rPr>
        <w:t xml:space="preserve">In the context of Statement No. 101, a FIFO flows assumption indicates that the leave an agency expects employees to use is </w:t>
      </w:r>
      <w:r w:rsidR="004C3D5F">
        <w:rPr>
          <w:rFonts w:ascii="Times New Roman" w:hAnsi="Times New Roman" w:cs="Times New Roman"/>
        </w:rPr>
        <w:t>attributable to the leave already accumulated at the date of the financial statements. That is, when leave is used, the employee is used the earliest leave they have earned, and which has accumulated in their “bank.”</w:t>
      </w:r>
      <w:r>
        <w:rPr>
          <w:rFonts w:ascii="Times New Roman" w:hAnsi="Times New Roman" w:cs="Times New Roman"/>
        </w:rPr>
        <w:t xml:space="preserve"> </w:t>
      </w:r>
    </w:p>
    <w:p w14:paraId="6E3511E9" w14:textId="55FC2FF8" w:rsidR="006B2C9B" w:rsidRDefault="004C3D5F" w:rsidP="0007383A">
      <w:pPr>
        <w:pStyle w:val="ListParagraph"/>
        <w:numPr>
          <w:ilvl w:val="0"/>
          <w:numId w:val="7"/>
        </w:numPr>
        <w:ind w:left="360"/>
        <w:jc w:val="both"/>
        <w:rPr>
          <w:rFonts w:ascii="Times New Roman" w:hAnsi="Times New Roman" w:cs="Times New Roman"/>
          <w:b/>
          <w:bCs/>
        </w:rPr>
      </w:pPr>
      <w:r>
        <w:rPr>
          <w:rFonts w:ascii="Times New Roman" w:hAnsi="Times New Roman" w:cs="Times New Roman"/>
          <w:b/>
          <w:bCs/>
        </w:rPr>
        <w:t xml:space="preserve">I understand that the </w:t>
      </w:r>
      <w:proofErr w:type="gramStart"/>
      <w:r>
        <w:rPr>
          <w:rFonts w:ascii="Times New Roman" w:hAnsi="Times New Roman" w:cs="Times New Roman"/>
          <w:b/>
          <w:bCs/>
        </w:rPr>
        <w:t>pay rate</w:t>
      </w:r>
      <w:proofErr w:type="gramEnd"/>
      <w:r>
        <w:rPr>
          <w:rFonts w:ascii="Times New Roman" w:hAnsi="Times New Roman" w:cs="Times New Roman"/>
          <w:b/>
          <w:bCs/>
        </w:rPr>
        <w:t xml:space="preserve"> to be used is the </w:t>
      </w:r>
      <w:proofErr w:type="gramStart"/>
      <w:r>
        <w:rPr>
          <w:rFonts w:ascii="Times New Roman" w:hAnsi="Times New Roman" w:cs="Times New Roman"/>
          <w:b/>
          <w:bCs/>
        </w:rPr>
        <w:t>rate as</w:t>
      </w:r>
      <w:proofErr w:type="gramEnd"/>
      <w:r>
        <w:rPr>
          <w:rFonts w:ascii="Times New Roman" w:hAnsi="Times New Roman" w:cs="Times New Roman"/>
          <w:b/>
          <w:bCs/>
        </w:rPr>
        <w:t xml:space="preserve"> of 6/30. However, if we do not run the queries created by the DFA on 6/30, will the data still reflect the 6/30 rates? For example, if I run the query in August when we are ready to do the calculation, will the query still use rates as of 6/30?</w:t>
      </w:r>
    </w:p>
    <w:p w14:paraId="793CFDD7" w14:textId="36FFB23C" w:rsidR="004C3D5F" w:rsidRPr="004C3D5F" w:rsidRDefault="004C3D5F" w:rsidP="0007383A">
      <w:pPr>
        <w:ind w:left="360"/>
        <w:jc w:val="both"/>
        <w:rPr>
          <w:rFonts w:ascii="Times New Roman" w:hAnsi="Times New Roman" w:cs="Times New Roman"/>
        </w:rPr>
      </w:pPr>
      <w:r>
        <w:rPr>
          <w:rFonts w:ascii="Times New Roman" w:hAnsi="Times New Roman" w:cs="Times New Roman"/>
        </w:rPr>
        <w:t xml:space="preserve">Yes, the queries can still utilize pay rates as of 6/30, even if you do not run the query on 6/30. </w:t>
      </w:r>
      <w:r>
        <w:rPr>
          <w:rFonts w:ascii="Times New Roman" w:hAnsi="Times New Roman" w:cs="Times New Roman"/>
          <w:b/>
          <w:bCs/>
        </w:rPr>
        <w:t>However,</w:t>
      </w:r>
      <w:r>
        <w:rPr>
          <w:rFonts w:ascii="Times New Roman" w:hAnsi="Times New Roman" w:cs="Times New Roman"/>
        </w:rPr>
        <w:t xml:space="preserve"> you will need to ensure that you are running the query </w:t>
      </w:r>
      <w:r>
        <w:rPr>
          <w:rFonts w:ascii="Times New Roman" w:hAnsi="Times New Roman" w:cs="Times New Roman"/>
          <w:b/>
          <w:bCs/>
        </w:rPr>
        <w:t xml:space="preserve">as of 6/30/20XX. </w:t>
      </w:r>
      <w:r>
        <w:rPr>
          <w:rFonts w:ascii="Times New Roman" w:hAnsi="Times New Roman" w:cs="Times New Roman"/>
        </w:rPr>
        <w:t xml:space="preserve">This is a configured field in the query, but you will need to ensure that you have it populated for the appropriate date. </w:t>
      </w:r>
    </w:p>
    <w:p w14:paraId="2F7852D8" w14:textId="152EADF4" w:rsidR="004C3D5F" w:rsidRDefault="00B94F37" w:rsidP="0007383A">
      <w:pPr>
        <w:pStyle w:val="ListParagraph"/>
        <w:numPr>
          <w:ilvl w:val="0"/>
          <w:numId w:val="7"/>
        </w:numPr>
        <w:ind w:left="360"/>
        <w:jc w:val="both"/>
        <w:rPr>
          <w:rFonts w:ascii="Times New Roman" w:hAnsi="Times New Roman" w:cs="Times New Roman"/>
          <w:b/>
          <w:bCs/>
        </w:rPr>
      </w:pPr>
      <w:r>
        <w:rPr>
          <w:rFonts w:ascii="Times New Roman" w:hAnsi="Times New Roman" w:cs="Times New Roman"/>
          <w:b/>
          <w:bCs/>
        </w:rPr>
        <w:t>Are the queries created by the DFA going to be public, or do we need special permission to access them?</w:t>
      </w:r>
    </w:p>
    <w:p w14:paraId="5ECD61A0" w14:textId="52C45413" w:rsidR="00B94F37" w:rsidRPr="00B94F37" w:rsidRDefault="00B94F37" w:rsidP="0007383A">
      <w:pPr>
        <w:ind w:left="360"/>
        <w:jc w:val="both"/>
        <w:rPr>
          <w:rFonts w:ascii="Times New Roman" w:hAnsi="Times New Roman" w:cs="Times New Roman"/>
        </w:rPr>
      </w:pPr>
      <w:r>
        <w:rPr>
          <w:rFonts w:ascii="Times New Roman" w:hAnsi="Times New Roman" w:cs="Times New Roman"/>
        </w:rPr>
        <w:t xml:space="preserve">The queries are going to be available to the public – you will not need special permission to access them. Additionally, to promote consistency and reduce confusion regarding which queries should be used, you should be aware that the queries that have historically been used to calculate the compensated absence liability will be removed from the SHARE system. You will only have access to the new queries moving forward. </w:t>
      </w:r>
    </w:p>
    <w:p w14:paraId="75CA00F0" w14:textId="765D0F37" w:rsidR="00B94F37" w:rsidRDefault="00B94F37" w:rsidP="0007383A">
      <w:pPr>
        <w:pStyle w:val="ListParagraph"/>
        <w:numPr>
          <w:ilvl w:val="0"/>
          <w:numId w:val="7"/>
        </w:numPr>
        <w:ind w:left="360"/>
        <w:jc w:val="both"/>
        <w:rPr>
          <w:rFonts w:ascii="Times New Roman" w:hAnsi="Times New Roman" w:cs="Times New Roman"/>
          <w:b/>
          <w:bCs/>
        </w:rPr>
      </w:pPr>
      <w:r>
        <w:rPr>
          <w:rFonts w:ascii="Times New Roman" w:hAnsi="Times New Roman" w:cs="Times New Roman"/>
          <w:b/>
          <w:bCs/>
        </w:rPr>
        <w:lastRenderedPageBreak/>
        <w:t xml:space="preserve">Sick leave has different thresholds in the calculation template (50% or 60%) depending on what category it falls into (usage or payout). However, I noticed that the different pay rates were not in the template. Do the HCM queries for sick leave </w:t>
      </w:r>
      <w:proofErr w:type="gramStart"/>
      <w:r>
        <w:rPr>
          <w:rFonts w:ascii="Times New Roman" w:hAnsi="Times New Roman" w:cs="Times New Roman"/>
          <w:b/>
          <w:bCs/>
        </w:rPr>
        <w:t>take into account</w:t>
      </w:r>
      <w:proofErr w:type="gramEnd"/>
      <w:r>
        <w:rPr>
          <w:rFonts w:ascii="Times New Roman" w:hAnsi="Times New Roman" w:cs="Times New Roman"/>
          <w:b/>
          <w:bCs/>
        </w:rPr>
        <w:t xml:space="preserve"> the different pay rates (100% for usage, 50% for payout) to calculate the ending sick liability?</w:t>
      </w:r>
    </w:p>
    <w:p w14:paraId="66F210F2" w14:textId="4E6F2E72" w:rsidR="00B94F37" w:rsidRPr="00B94F37" w:rsidRDefault="00B94F37" w:rsidP="0007383A">
      <w:pPr>
        <w:ind w:left="360"/>
        <w:jc w:val="both"/>
        <w:rPr>
          <w:rFonts w:ascii="Times New Roman" w:hAnsi="Times New Roman" w:cs="Times New Roman"/>
        </w:rPr>
      </w:pPr>
      <w:r>
        <w:rPr>
          <w:rFonts w:ascii="Times New Roman" w:hAnsi="Times New Roman" w:cs="Times New Roman"/>
        </w:rPr>
        <w:t xml:space="preserve">Yes, the different rates for usage and payout are already integrated into the queries created by the DFA, so you will not need to account for it again in </w:t>
      </w:r>
      <w:proofErr w:type="gramStart"/>
      <w:r>
        <w:rPr>
          <w:rFonts w:ascii="Times New Roman" w:hAnsi="Times New Roman" w:cs="Times New Roman"/>
        </w:rPr>
        <w:t>you</w:t>
      </w:r>
      <w:proofErr w:type="gramEnd"/>
      <w:r>
        <w:rPr>
          <w:rFonts w:ascii="Times New Roman" w:hAnsi="Times New Roman" w:cs="Times New Roman"/>
        </w:rPr>
        <w:t xml:space="preserve"> calculation.</w:t>
      </w:r>
    </w:p>
    <w:p w14:paraId="533A6636" w14:textId="060F43B5" w:rsidR="00B94F37" w:rsidRDefault="00B94F37" w:rsidP="0007383A">
      <w:pPr>
        <w:pStyle w:val="ListParagraph"/>
        <w:numPr>
          <w:ilvl w:val="0"/>
          <w:numId w:val="7"/>
        </w:numPr>
        <w:ind w:left="360"/>
        <w:jc w:val="both"/>
        <w:rPr>
          <w:rFonts w:ascii="Times New Roman" w:hAnsi="Times New Roman" w:cs="Times New Roman"/>
          <w:b/>
          <w:bCs/>
        </w:rPr>
      </w:pPr>
      <w:r>
        <w:rPr>
          <w:rFonts w:ascii="Times New Roman" w:hAnsi="Times New Roman" w:cs="Times New Roman"/>
          <w:b/>
          <w:bCs/>
        </w:rPr>
        <w:t>I already know my employees will have a pay rate increase in FY26. When I am calculating my liability for FY25, do I use these new FY26 rates?</w:t>
      </w:r>
    </w:p>
    <w:p w14:paraId="14644F10" w14:textId="04308C76" w:rsidR="00B94F37" w:rsidRPr="00B94F37" w:rsidRDefault="00B94F37" w:rsidP="0007383A">
      <w:pPr>
        <w:ind w:left="360"/>
        <w:jc w:val="both"/>
        <w:rPr>
          <w:rFonts w:ascii="Times New Roman" w:hAnsi="Times New Roman" w:cs="Times New Roman"/>
        </w:rPr>
      </w:pPr>
      <w:r>
        <w:rPr>
          <w:rFonts w:ascii="Times New Roman" w:hAnsi="Times New Roman" w:cs="Times New Roman"/>
        </w:rPr>
        <w:t>No, you should not use future pay rates, even if they are known at the time of calculation. The change in pay rate will be recognized in the liability in the period to which it applies (FY26 calculation in this case). Always use the pay rate as of the date of the financial statements.</w:t>
      </w:r>
    </w:p>
    <w:p w14:paraId="633B4329" w14:textId="582F3B5B" w:rsidR="00B94F37" w:rsidRPr="00B94F37" w:rsidRDefault="00B94F37" w:rsidP="0007383A">
      <w:pPr>
        <w:pStyle w:val="ListParagraph"/>
        <w:numPr>
          <w:ilvl w:val="0"/>
          <w:numId w:val="7"/>
        </w:numPr>
        <w:ind w:left="360"/>
        <w:jc w:val="both"/>
        <w:rPr>
          <w:rFonts w:ascii="Times New Roman" w:hAnsi="Times New Roman" w:cs="Times New Roman"/>
          <w:b/>
          <w:bCs/>
        </w:rPr>
      </w:pPr>
      <w:r>
        <w:rPr>
          <w:rFonts w:ascii="Times New Roman" w:hAnsi="Times New Roman" w:cs="Times New Roman"/>
          <w:b/>
          <w:bCs/>
        </w:rPr>
        <w:t>Did the DFA make any changes to my leave and personnel policies that I need to be aware of? Should I be changing my policies under Statement No. 101?</w:t>
      </w:r>
    </w:p>
    <w:p w14:paraId="064D2087" w14:textId="01C92588" w:rsidR="00B94F37" w:rsidRPr="00E0361F" w:rsidRDefault="00E0361F" w:rsidP="0007383A">
      <w:pPr>
        <w:ind w:left="360"/>
        <w:jc w:val="both"/>
        <w:rPr>
          <w:rFonts w:ascii="Times New Roman" w:hAnsi="Times New Roman" w:cs="Times New Roman"/>
        </w:rPr>
      </w:pPr>
      <w:r>
        <w:rPr>
          <w:rFonts w:ascii="Times New Roman" w:hAnsi="Times New Roman" w:cs="Times New Roman"/>
        </w:rPr>
        <w:t xml:space="preserve">The DFA </w:t>
      </w:r>
      <w:r>
        <w:rPr>
          <w:rFonts w:ascii="Times New Roman" w:hAnsi="Times New Roman" w:cs="Times New Roman"/>
          <w:i/>
          <w:iCs/>
        </w:rPr>
        <w:t xml:space="preserve">did not </w:t>
      </w:r>
      <w:r>
        <w:rPr>
          <w:rFonts w:ascii="Times New Roman" w:hAnsi="Times New Roman" w:cs="Times New Roman"/>
        </w:rPr>
        <w:t xml:space="preserve">make any changes to leave and personnel policies. Statement No. 101 only </w:t>
      </w:r>
      <w:proofErr w:type="gramStart"/>
      <w:r>
        <w:rPr>
          <w:rFonts w:ascii="Times New Roman" w:hAnsi="Times New Roman" w:cs="Times New Roman"/>
        </w:rPr>
        <w:t>impacts</w:t>
      </w:r>
      <w:proofErr w:type="gramEnd"/>
      <w:r>
        <w:rPr>
          <w:rFonts w:ascii="Times New Roman" w:hAnsi="Times New Roman" w:cs="Times New Roman"/>
        </w:rPr>
        <w:t xml:space="preserve"> the accounting for compensated absences and does not make any changes to leave accrual schedules, leave payouts, accrual caps, types of leave offered, etc. The DFA reviewed and analyzed policies as they currently exist and applied the provisions of Statement No. 101 to make its determinations. </w:t>
      </w:r>
    </w:p>
    <w:p w14:paraId="68000411" w14:textId="7B40AE37" w:rsidR="0007383A" w:rsidRDefault="0007383A" w:rsidP="0007383A">
      <w:pPr>
        <w:pStyle w:val="ListParagraph"/>
        <w:numPr>
          <w:ilvl w:val="0"/>
          <w:numId w:val="7"/>
        </w:numPr>
        <w:ind w:left="360"/>
        <w:jc w:val="both"/>
        <w:rPr>
          <w:rFonts w:ascii="Times New Roman" w:hAnsi="Times New Roman" w:cs="Times New Roman"/>
          <w:b/>
          <w:bCs/>
        </w:rPr>
      </w:pPr>
      <w:r>
        <w:rPr>
          <w:rFonts w:ascii="Times New Roman" w:hAnsi="Times New Roman" w:cs="Times New Roman"/>
          <w:b/>
          <w:bCs/>
        </w:rPr>
        <w:t>Why do I have to make a restatement for Statement No. 101?</w:t>
      </w:r>
    </w:p>
    <w:p w14:paraId="6D0E66C2" w14:textId="5C68EA36" w:rsidR="0007383A" w:rsidRDefault="0007383A" w:rsidP="0007383A">
      <w:pPr>
        <w:ind w:left="360"/>
        <w:jc w:val="both"/>
        <w:rPr>
          <w:rFonts w:ascii="Times New Roman" w:hAnsi="Times New Roman" w:cs="Times New Roman"/>
        </w:rPr>
      </w:pPr>
      <w:r w:rsidRPr="0007383A">
        <w:rPr>
          <w:rFonts w:ascii="Times New Roman" w:hAnsi="Times New Roman" w:cs="Times New Roman"/>
        </w:rPr>
        <w:t xml:space="preserve">Statement No. 101 is treated as a change in accounting principle. Therefore, </w:t>
      </w:r>
      <w:r w:rsidR="009D55CC">
        <w:rPr>
          <w:rFonts w:ascii="Times New Roman" w:hAnsi="Times New Roman" w:cs="Times New Roman"/>
        </w:rPr>
        <w:t>in accordance</w:t>
      </w:r>
      <w:r w:rsidRPr="0007383A">
        <w:rPr>
          <w:rFonts w:ascii="Times New Roman" w:hAnsi="Times New Roman" w:cs="Times New Roman"/>
        </w:rPr>
        <w:t xml:space="preserve"> with Statement No. 100, Accounting Changes and Error Corrections, a restatement is necessary to show the cumulative effect of the change on prior periods. </w:t>
      </w:r>
    </w:p>
    <w:p w14:paraId="29A6DE64" w14:textId="77777777" w:rsidR="009D55CC" w:rsidRPr="0007383A" w:rsidRDefault="009D55CC" w:rsidP="0007383A">
      <w:pPr>
        <w:ind w:left="360"/>
        <w:jc w:val="both"/>
        <w:rPr>
          <w:rFonts w:ascii="Times New Roman" w:hAnsi="Times New Roman" w:cs="Times New Roman"/>
        </w:rPr>
      </w:pPr>
    </w:p>
    <w:p w14:paraId="268EDF73" w14:textId="77777777" w:rsidR="00B94F37" w:rsidRPr="00B94F37" w:rsidRDefault="00B94F37" w:rsidP="00B94F37">
      <w:pPr>
        <w:rPr>
          <w:rFonts w:ascii="Times New Roman" w:hAnsi="Times New Roman" w:cs="Times New Roman"/>
          <w:b/>
          <w:bCs/>
        </w:rPr>
      </w:pPr>
    </w:p>
    <w:p w14:paraId="7D018D7F" w14:textId="77777777" w:rsidR="00B94F37" w:rsidRPr="00B94F37" w:rsidRDefault="00B94F37" w:rsidP="00B94F37">
      <w:pPr>
        <w:rPr>
          <w:rFonts w:ascii="Times New Roman" w:hAnsi="Times New Roman" w:cs="Times New Roman"/>
          <w:b/>
          <w:bCs/>
        </w:rPr>
      </w:pPr>
    </w:p>
    <w:p w14:paraId="00D463B2" w14:textId="77777777" w:rsidR="004C3D5F" w:rsidRPr="00752BDD" w:rsidRDefault="004C3D5F" w:rsidP="004C3D5F">
      <w:pPr>
        <w:pStyle w:val="ListParagraph"/>
        <w:rPr>
          <w:rFonts w:ascii="Times New Roman" w:hAnsi="Times New Roman" w:cs="Times New Roman"/>
        </w:rPr>
      </w:pPr>
    </w:p>
    <w:p w14:paraId="25B67608" w14:textId="7E7917D9" w:rsidR="001A26C3" w:rsidRPr="00E0361F" w:rsidRDefault="001A26C3" w:rsidP="00E0361F">
      <w:pPr>
        <w:rPr>
          <w:rFonts w:ascii="Times New Roman" w:hAnsi="Times New Roman" w:cs="Times New Roman"/>
        </w:rPr>
      </w:pPr>
    </w:p>
    <w:sectPr w:rsidR="001A26C3" w:rsidRPr="00E0361F" w:rsidSect="004C3D5F">
      <w:headerReference w:type="even" r:id="rId7"/>
      <w:headerReference w:type="default" r:id="rId8"/>
      <w:footerReference w:type="even" r:id="rId9"/>
      <w:footerReference w:type="default" r:id="rId10"/>
      <w:headerReference w:type="first" r:id="rId11"/>
      <w:footerReference w:type="firs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097D" w14:textId="77777777" w:rsidR="00A5357E" w:rsidRDefault="00A5357E" w:rsidP="00752BDD">
      <w:pPr>
        <w:spacing w:after="0" w:line="240" w:lineRule="auto"/>
      </w:pPr>
      <w:r>
        <w:separator/>
      </w:r>
    </w:p>
  </w:endnote>
  <w:endnote w:type="continuationSeparator" w:id="0">
    <w:p w14:paraId="1BF03251" w14:textId="77777777" w:rsidR="00A5357E" w:rsidRDefault="00A5357E" w:rsidP="0075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D60C" w14:textId="77777777" w:rsidR="00752BDD" w:rsidRDefault="00752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B573" w14:textId="77777777" w:rsidR="00752BDD" w:rsidRDefault="00752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6F5D" w14:textId="77777777" w:rsidR="00752BDD" w:rsidRDefault="0075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664B" w14:textId="77777777" w:rsidR="00A5357E" w:rsidRDefault="00A5357E" w:rsidP="00752BDD">
      <w:pPr>
        <w:spacing w:after="0" w:line="240" w:lineRule="auto"/>
      </w:pPr>
      <w:r>
        <w:separator/>
      </w:r>
    </w:p>
  </w:footnote>
  <w:footnote w:type="continuationSeparator" w:id="0">
    <w:p w14:paraId="1ED2CBD2" w14:textId="77777777" w:rsidR="00A5357E" w:rsidRDefault="00A5357E" w:rsidP="00752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C2A3" w14:textId="77777777" w:rsidR="00752BDD" w:rsidRDefault="00752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B935" w14:textId="77777777" w:rsidR="00752BDD" w:rsidRDefault="00752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C6F4" w14:textId="77777777" w:rsidR="00752BDD" w:rsidRDefault="00752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C48"/>
    <w:multiLevelType w:val="hybridMultilevel"/>
    <w:tmpl w:val="27FEA88A"/>
    <w:lvl w:ilvl="0" w:tplc="64BA884E">
      <w:start w:val="1"/>
      <w:numFmt w:val="bullet"/>
      <w:lvlText w:val="►"/>
      <w:lvlJc w:val="left"/>
      <w:pPr>
        <w:tabs>
          <w:tab w:val="num" w:pos="720"/>
        </w:tabs>
        <w:ind w:left="720" w:hanging="360"/>
      </w:pPr>
      <w:rPr>
        <w:rFonts w:ascii="Arial" w:hAnsi="Arial" w:hint="default"/>
      </w:rPr>
    </w:lvl>
    <w:lvl w:ilvl="1" w:tplc="B016D4F0">
      <w:numFmt w:val="bullet"/>
      <w:lvlText w:val="►"/>
      <w:lvlJc w:val="left"/>
      <w:pPr>
        <w:tabs>
          <w:tab w:val="num" w:pos="1440"/>
        </w:tabs>
        <w:ind w:left="1440" w:hanging="360"/>
      </w:pPr>
      <w:rPr>
        <w:rFonts w:ascii="Arial" w:hAnsi="Arial" w:hint="default"/>
      </w:rPr>
    </w:lvl>
    <w:lvl w:ilvl="2" w:tplc="94ECBDC4" w:tentative="1">
      <w:start w:val="1"/>
      <w:numFmt w:val="bullet"/>
      <w:lvlText w:val="►"/>
      <w:lvlJc w:val="left"/>
      <w:pPr>
        <w:tabs>
          <w:tab w:val="num" w:pos="2160"/>
        </w:tabs>
        <w:ind w:left="2160" w:hanging="360"/>
      </w:pPr>
      <w:rPr>
        <w:rFonts w:ascii="Arial" w:hAnsi="Arial" w:hint="default"/>
      </w:rPr>
    </w:lvl>
    <w:lvl w:ilvl="3" w:tplc="B740881E" w:tentative="1">
      <w:start w:val="1"/>
      <w:numFmt w:val="bullet"/>
      <w:lvlText w:val="►"/>
      <w:lvlJc w:val="left"/>
      <w:pPr>
        <w:tabs>
          <w:tab w:val="num" w:pos="2880"/>
        </w:tabs>
        <w:ind w:left="2880" w:hanging="360"/>
      </w:pPr>
      <w:rPr>
        <w:rFonts w:ascii="Arial" w:hAnsi="Arial" w:hint="default"/>
      </w:rPr>
    </w:lvl>
    <w:lvl w:ilvl="4" w:tplc="506472FC" w:tentative="1">
      <w:start w:val="1"/>
      <w:numFmt w:val="bullet"/>
      <w:lvlText w:val="►"/>
      <w:lvlJc w:val="left"/>
      <w:pPr>
        <w:tabs>
          <w:tab w:val="num" w:pos="3600"/>
        </w:tabs>
        <w:ind w:left="3600" w:hanging="360"/>
      </w:pPr>
      <w:rPr>
        <w:rFonts w:ascii="Arial" w:hAnsi="Arial" w:hint="default"/>
      </w:rPr>
    </w:lvl>
    <w:lvl w:ilvl="5" w:tplc="C7405698" w:tentative="1">
      <w:start w:val="1"/>
      <w:numFmt w:val="bullet"/>
      <w:lvlText w:val="►"/>
      <w:lvlJc w:val="left"/>
      <w:pPr>
        <w:tabs>
          <w:tab w:val="num" w:pos="4320"/>
        </w:tabs>
        <w:ind w:left="4320" w:hanging="360"/>
      </w:pPr>
      <w:rPr>
        <w:rFonts w:ascii="Arial" w:hAnsi="Arial" w:hint="default"/>
      </w:rPr>
    </w:lvl>
    <w:lvl w:ilvl="6" w:tplc="6B24B632" w:tentative="1">
      <w:start w:val="1"/>
      <w:numFmt w:val="bullet"/>
      <w:lvlText w:val="►"/>
      <w:lvlJc w:val="left"/>
      <w:pPr>
        <w:tabs>
          <w:tab w:val="num" w:pos="5040"/>
        </w:tabs>
        <w:ind w:left="5040" w:hanging="360"/>
      </w:pPr>
      <w:rPr>
        <w:rFonts w:ascii="Arial" w:hAnsi="Arial" w:hint="default"/>
      </w:rPr>
    </w:lvl>
    <w:lvl w:ilvl="7" w:tplc="3790D7AC" w:tentative="1">
      <w:start w:val="1"/>
      <w:numFmt w:val="bullet"/>
      <w:lvlText w:val="►"/>
      <w:lvlJc w:val="left"/>
      <w:pPr>
        <w:tabs>
          <w:tab w:val="num" w:pos="5760"/>
        </w:tabs>
        <w:ind w:left="5760" w:hanging="360"/>
      </w:pPr>
      <w:rPr>
        <w:rFonts w:ascii="Arial" w:hAnsi="Arial" w:hint="default"/>
      </w:rPr>
    </w:lvl>
    <w:lvl w:ilvl="8" w:tplc="902A1E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116919"/>
    <w:multiLevelType w:val="hybridMultilevel"/>
    <w:tmpl w:val="0C7A2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C54589"/>
    <w:multiLevelType w:val="hybridMultilevel"/>
    <w:tmpl w:val="DB0E4B4C"/>
    <w:lvl w:ilvl="0" w:tplc="216A5230">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55924"/>
    <w:multiLevelType w:val="hybridMultilevel"/>
    <w:tmpl w:val="0C7A2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735CF"/>
    <w:multiLevelType w:val="hybridMultilevel"/>
    <w:tmpl w:val="EE1E742E"/>
    <w:lvl w:ilvl="0" w:tplc="772E81B6">
      <w:start w:val="1"/>
      <w:numFmt w:val="bullet"/>
      <w:lvlText w:val="►"/>
      <w:lvlJc w:val="left"/>
      <w:pPr>
        <w:tabs>
          <w:tab w:val="num" w:pos="720"/>
        </w:tabs>
        <w:ind w:left="720" w:hanging="360"/>
      </w:pPr>
      <w:rPr>
        <w:rFonts w:ascii="Arial" w:hAnsi="Arial" w:hint="default"/>
      </w:rPr>
    </w:lvl>
    <w:lvl w:ilvl="1" w:tplc="AB3A7B2E">
      <w:numFmt w:val="bullet"/>
      <w:lvlText w:val="►"/>
      <w:lvlJc w:val="left"/>
      <w:pPr>
        <w:tabs>
          <w:tab w:val="num" w:pos="1440"/>
        </w:tabs>
        <w:ind w:left="1440" w:hanging="360"/>
      </w:pPr>
      <w:rPr>
        <w:rFonts w:ascii="Arial" w:hAnsi="Arial" w:hint="default"/>
      </w:rPr>
    </w:lvl>
    <w:lvl w:ilvl="2" w:tplc="39A60430" w:tentative="1">
      <w:start w:val="1"/>
      <w:numFmt w:val="bullet"/>
      <w:lvlText w:val="►"/>
      <w:lvlJc w:val="left"/>
      <w:pPr>
        <w:tabs>
          <w:tab w:val="num" w:pos="2160"/>
        </w:tabs>
        <w:ind w:left="2160" w:hanging="360"/>
      </w:pPr>
      <w:rPr>
        <w:rFonts w:ascii="Arial" w:hAnsi="Arial" w:hint="default"/>
      </w:rPr>
    </w:lvl>
    <w:lvl w:ilvl="3" w:tplc="1234AF5E" w:tentative="1">
      <w:start w:val="1"/>
      <w:numFmt w:val="bullet"/>
      <w:lvlText w:val="►"/>
      <w:lvlJc w:val="left"/>
      <w:pPr>
        <w:tabs>
          <w:tab w:val="num" w:pos="2880"/>
        </w:tabs>
        <w:ind w:left="2880" w:hanging="360"/>
      </w:pPr>
      <w:rPr>
        <w:rFonts w:ascii="Arial" w:hAnsi="Arial" w:hint="default"/>
      </w:rPr>
    </w:lvl>
    <w:lvl w:ilvl="4" w:tplc="1932F2AE" w:tentative="1">
      <w:start w:val="1"/>
      <w:numFmt w:val="bullet"/>
      <w:lvlText w:val="►"/>
      <w:lvlJc w:val="left"/>
      <w:pPr>
        <w:tabs>
          <w:tab w:val="num" w:pos="3600"/>
        </w:tabs>
        <w:ind w:left="3600" w:hanging="360"/>
      </w:pPr>
      <w:rPr>
        <w:rFonts w:ascii="Arial" w:hAnsi="Arial" w:hint="default"/>
      </w:rPr>
    </w:lvl>
    <w:lvl w:ilvl="5" w:tplc="B8C015D2" w:tentative="1">
      <w:start w:val="1"/>
      <w:numFmt w:val="bullet"/>
      <w:lvlText w:val="►"/>
      <w:lvlJc w:val="left"/>
      <w:pPr>
        <w:tabs>
          <w:tab w:val="num" w:pos="4320"/>
        </w:tabs>
        <w:ind w:left="4320" w:hanging="360"/>
      </w:pPr>
      <w:rPr>
        <w:rFonts w:ascii="Arial" w:hAnsi="Arial" w:hint="default"/>
      </w:rPr>
    </w:lvl>
    <w:lvl w:ilvl="6" w:tplc="760ADBC2" w:tentative="1">
      <w:start w:val="1"/>
      <w:numFmt w:val="bullet"/>
      <w:lvlText w:val="►"/>
      <w:lvlJc w:val="left"/>
      <w:pPr>
        <w:tabs>
          <w:tab w:val="num" w:pos="5040"/>
        </w:tabs>
        <w:ind w:left="5040" w:hanging="360"/>
      </w:pPr>
      <w:rPr>
        <w:rFonts w:ascii="Arial" w:hAnsi="Arial" w:hint="default"/>
      </w:rPr>
    </w:lvl>
    <w:lvl w:ilvl="7" w:tplc="53C2C562" w:tentative="1">
      <w:start w:val="1"/>
      <w:numFmt w:val="bullet"/>
      <w:lvlText w:val="►"/>
      <w:lvlJc w:val="left"/>
      <w:pPr>
        <w:tabs>
          <w:tab w:val="num" w:pos="5760"/>
        </w:tabs>
        <w:ind w:left="5760" w:hanging="360"/>
      </w:pPr>
      <w:rPr>
        <w:rFonts w:ascii="Arial" w:hAnsi="Arial" w:hint="default"/>
      </w:rPr>
    </w:lvl>
    <w:lvl w:ilvl="8" w:tplc="B8D447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E0423B"/>
    <w:multiLevelType w:val="hybridMultilevel"/>
    <w:tmpl w:val="00AC1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B80352"/>
    <w:multiLevelType w:val="hybridMultilevel"/>
    <w:tmpl w:val="FDF2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8978">
    <w:abstractNumId w:val="6"/>
  </w:num>
  <w:num w:numId="2" w16cid:durableId="63720213">
    <w:abstractNumId w:val="3"/>
  </w:num>
  <w:num w:numId="3" w16cid:durableId="1060985452">
    <w:abstractNumId w:val="1"/>
  </w:num>
  <w:num w:numId="4" w16cid:durableId="181015834">
    <w:abstractNumId w:val="0"/>
  </w:num>
  <w:num w:numId="5" w16cid:durableId="470051124">
    <w:abstractNumId w:val="4"/>
  </w:num>
  <w:num w:numId="6" w16cid:durableId="1471635183">
    <w:abstractNumId w:val="5"/>
  </w:num>
  <w:num w:numId="7" w16cid:durableId="1483153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84"/>
    <w:rsid w:val="00010970"/>
    <w:rsid w:val="0007383A"/>
    <w:rsid w:val="00195200"/>
    <w:rsid w:val="001A26C3"/>
    <w:rsid w:val="00314409"/>
    <w:rsid w:val="004A6F52"/>
    <w:rsid w:val="004C3D5F"/>
    <w:rsid w:val="004E3D7A"/>
    <w:rsid w:val="005910A4"/>
    <w:rsid w:val="005C44F9"/>
    <w:rsid w:val="00675C32"/>
    <w:rsid w:val="006B2C9B"/>
    <w:rsid w:val="00752BDD"/>
    <w:rsid w:val="007A2F84"/>
    <w:rsid w:val="0086638E"/>
    <w:rsid w:val="00973858"/>
    <w:rsid w:val="009816BC"/>
    <w:rsid w:val="009D55CC"/>
    <w:rsid w:val="00A5357E"/>
    <w:rsid w:val="00AC6E76"/>
    <w:rsid w:val="00B94F37"/>
    <w:rsid w:val="00CC6982"/>
    <w:rsid w:val="00E03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7A5C0"/>
  <w15:chartTrackingRefBased/>
  <w15:docId w15:val="{AED23EC5-BA6F-455A-BDAA-AA3310ED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F84"/>
    <w:rPr>
      <w:rFonts w:eastAsiaTheme="majorEastAsia" w:cstheme="majorBidi"/>
      <w:color w:val="272727" w:themeColor="text1" w:themeTint="D8"/>
    </w:rPr>
  </w:style>
  <w:style w:type="paragraph" w:styleId="Title">
    <w:name w:val="Title"/>
    <w:basedOn w:val="Normal"/>
    <w:next w:val="Normal"/>
    <w:link w:val="TitleChar"/>
    <w:uiPriority w:val="10"/>
    <w:qFormat/>
    <w:rsid w:val="007A2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F84"/>
    <w:pPr>
      <w:spacing w:before="160"/>
      <w:jc w:val="center"/>
    </w:pPr>
    <w:rPr>
      <w:i/>
      <w:iCs/>
      <w:color w:val="404040" w:themeColor="text1" w:themeTint="BF"/>
    </w:rPr>
  </w:style>
  <w:style w:type="character" w:customStyle="1" w:styleId="QuoteChar">
    <w:name w:val="Quote Char"/>
    <w:basedOn w:val="DefaultParagraphFont"/>
    <w:link w:val="Quote"/>
    <w:uiPriority w:val="29"/>
    <w:rsid w:val="007A2F84"/>
    <w:rPr>
      <w:i/>
      <w:iCs/>
      <w:color w:val="404040" w:themeColor="text1" w:themeTint="BF"/>
    </w:rPr>
  </w:style>
  <w:style w:type="paragraph" w:styleId="ListParagraph">
    <w:name w:val="List Paragraph"/>
    <w:basedOn w:val="Normal"/>
    <w:uiPriority w:val="34"/>
    <w:qFormat/>
    <w:rsid w:val="007A2F84"/>
    <w:pPr>
      <w:ind w:left="720"/>
      <w:contextualSpacing/>
    </w:pPr>
  </w:style>
  <w:style w:type="character" w:styleId="IntenseEmphasis">
    <w:name w:val="Intense Emphasis"/>
    <w:basedOn w:val="DefaultParagraphFont"/>
    <w:uiPriority w:val="21"/>
    <w:qFormat/>
    <w:rsid w:val="007A2F84"/>
    <w:rPr>
      <w:i/>
      <w:iCs/>
      <w:color w:val="0F4761" w:themeColor="accent1" w:themeShade="BF"/>
    </w:rPr>
  </w:style>
  <w:style w:type="paragraph" w:styleId="IntenseQuote">
    <w:name w:val="Intense Quote"/>
    <w:basedOn w:val="Normal"/>
    <w:next w:val="Normal"/>
    <w:link w:val="IntenseQuoteChar"/>
    <w:uiPriority w:val="30"/>
    <w:qFormat/>
    <w:rsid w:val="007A2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F84"/>
    <w:rPr>
      <w:i/>
      <w:iCs/>
      <w:color w:val="0F4761" w:themeColor="accent1" w:themeShade="BF"/>
    </w:rPr>
  </w:style>
  <w:style w:type="character" w:styleId="IntenseReference">
    <w:name w:val="Intense Reference"/>
    <w:basedOn w:val="DefaultParagraphFont"/>
    <w:uiPriority w:val="32"/>
    <w:qFormat/>
    <w:rsid w:val="007A2F84"/>
    <w:rPr>
      <w:b/>
      <w:bCs/>
      <w:smallCaps/>
      <w:color w:val="0F4761" w:themeColor="accent1" w:themeShade="BF"/>
      <w:spacing w:val="5"/>
    </w:rPr>
  </w:style>
  <w:style w:type="paragraph" w:styleId="Header">
    <w:name w:val="header"/>
    <w:basedOn w:val="Normal"/>
    <w:link w:val="HeaderChar"/>
    <w:uiPriority w:val="99"/>
    <w:unhideWhenUsed/>
    <w:rsid w:val="00752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BDD"/>
  </w:style>
  <w:style w:type="paragraph" w:styleId="Footer">
    <w:name w:val="footer"/>
    <w:basedOn w:val="Normal"/>
    <w:link w:val="FooterChar"/>
    <w:uiPriority w:val="99"/>
    <w:unhideWhenUsed/>
    <w:rsid w:val="00752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8939">
      <w:bodyDiv w:val="1"/>
      <w:marLeft w:val="0"/>
      <w:marRight w:val="0"/>
      <w:marTop w:val="0"/>
      <w:marBottom w:val="0"/>
      <w:divBdr>
        <w:top w:val="none" w:sz="0" w:space="0" w:color="auto"/>
        <w:left w:val="none" w:sz="0" w:space="0" w:color="auto"/>
        <w:bottom w:val="none" w:sz="0" w:space="0" w:color="auto"/>
        <w:right w:val="none" w:sz="0" w:space="0" w:color="auto"/>
      </w:divBdr>
      <w:divsChild>
        <w:div w:id="88622348">
          <w:marLeft w:val="734"/>
          <w:marRight w:val="0"/>
          <w:marTop w:val="0"/>
          <w:marBottom w:val="60"/>
          <w:divBdr>
            <w:top w:val="none" w:sz="0" w:space="0" w:color="auto"/>
            <w:left w:val="none" w:sz="0" w:space="0" w:color="auto"/>
            <w:bottom w:val="none" w:sz="0" w:space="0" w:color="auto"/>
            <w:right w:val="none" w:sz="0" w:space="0" w:color="auto"/>
          </w:divBdr>
        </w:div>
        <w:div w:id="1688285736">
          <w:marLeft w:val="1267"/>
          <w:marRight w:val="0"/>
          <w:marTop w:val="0"/>
          <w:marBottom w:val="120"/>
          <w:divBdr>
            <w:top w:val="none" w:sz="0" w:space="0" w:color="auto"/>
            <w:left w:val="none" w:sz="0" w:space="0" w:color="auto"/>
            <w:bottom w:val="none" w:sz="0" w:space="0" w:color="auto"/>
            <w:right w:val="none" w:sz="0" w:space="0" w:color="auto"/>
          </w:divBdr>
        </w:div>
        <w:div w:id="1126702318">
          <w:marLeft w:val="734"/>
          <w:marRight w:val="0"/>
          <w:marTop w:val="0"/>
          <w:marBottom w:val="60"/>
          <w:divBdr>
            <w:top w:val="none" w:sz="0" w:space="0" w:color="auto"/>
            <w:left w:val="none" w:sz="0" w:space="0" w:color="auto"/>
            <w:bottom w:val="none" w:sz="0" w:space="0" w:color="auto"/>
            <w:right w:val="none" w:sz="0" w:space="0" w:color="auto"/>
          </w:divBdr>
        </w:div>
        <w:div w:id="700788784">
          <w:marLeft w:val="1267"/>
          <w:marRight w:val="0"/>
          <w:marTop w:val="0"/>
          <w:marBottom w:val="120"/>
          <w:divBdr>
            <w:top w:val="none" w:sz="0" w:space="0" w:color="auto"/>
            <w:left w:val="none" w:sz="0" w:space="0" w:color="auto"/>
            <w:bottom w:val="none" w:sz="0" w:space="0" w:color="auto"/>
            <w:right w:val="none" w:sz="0" w:space="0" w:color="auto"/>
          </w:divBdr>
        </w:div>
      </w:divsChild>
    </w:div>
    <w:div w:id="757751755">
      <w:bodyDiv w:val="1"/>
      <w:marLeft w:val="0"/>
      <w:marRight w:val="0"/>
      <w:marTop w:val="0"/>
      <w:marBottom w:val="0"/>
      <w:divBdr>
        <w:top w:val="none" w:sz="0" w:space="0" w:color="auto"/>
        <w:left w:val="none" w:sz="0" w:space="0" w:color="auto"/>
        <w:bottom w:val="none" w:sz="0" w:space="0" w:color="auto"/>
        <w:right w:val="none" w:sz="0" w:space="0" w:color="auto"/>
      </w:divBdr>
      <w:divsChild>
        <w:div w:id="1874223759">
          <w:marLeft w:val="734"/>
          <w:marRight w:val="0"/>
          <w:marTop w:val="0"/>
          <w:marBottom w:val="60"/>
          <w:divBdr>
            <w:top w:val="none" w:sz="0" w:space="0" w:color="auto"/>
            <w:left w:val="none" w:sz="0" w:space="0" w:color="auto"/>
            <w:bottom w:val="none" w:sz="0" w:space="0" w:color="auto"/>
            <w:right w:val="none" w:sz="0" w:space="0" w:color="auto"/>
          </w:divBdr>
        </w:div>
        <w:div w:id="1631278226">
          <w:marLeft w:val="1267"/>
          <w:marRight w:val="0"/>
          <w:marTop w:val="0"/>
          <w:marBottom w:val="120"/>
          <w:divBdr>
            <w:top w:val="none" w:sz="0" w:space="0" w:color="auto"/>
            <w:left w:val="none" w:sz="0" w:space="0" w:color="auto"/>
            <w:bottom w:val="none" w:sz="0" w:space="0" w:color="auto"/>
            <w:right w:val="none" w:sz="0" w:space="0" w:color="auto"/>
          </w:divBdr>
        </w:div>
        <w:div w:id="421728390">
          <w:marLeft w:val="734"/>
          <w:marRight w:val="0"/>
          <w:marTop w:val="0"/>
          <w:marBottom w:val="60"/>
          <w:divBdr>
            <w:top w:val="none" w:sz="0" w:space="0" w:color="auto"/>
            <w:left w:val="none" w:sz="0" w:space="0" w:color="auto"/>
            <w:bottom w:val="none" w:sz="0" w:space="0" w:color="auto"/>
            <w:right w:val="none" w:sz="0" w:space="0" w:color="auto"/>
          </w:divBdr>
        </w:div>
        <w:div w:id="322240737">
          <w:marLeft w:val="1267"/>
          <w:marRight w:val="0"/>
          <w:marTop w:val="0"/>
          <w:marBottom w:val="120"/>
          <w:divBdr>
            <w:top w:val="none" w:sz="0" w:space="0" w:color="auto"/>
            <w:left w:val="none" w:sz="0" w:space="0" w:color="auto"/>
            <w:bottom w:val="none" w:sz="0" w:space="0" w:color="auto"/>
            <w:right w:val="none" w:sz="0" w:space="0" w:color="auto"/>
          </w:divBdr>
        </w:div>
      </w:divsChild>
    </w:div>
    <w:div w:id="95748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2778</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Bailee Steinle</dc:creator>
  <cp:keywords/>
  <dc:description/>
  <cp:lastModifiedBy>Bailee Steinle</cp:lastModifiedBy>
  <cp:revision>16</cp:revision>
  <dcterms:created xsi:type="dcterms:W3CDTF">2025-06-17T14:55:00Z</dcterms:created>
  <dcterms:modified xsi:type="dcterms:W3CDTF">2025-06-23T15:03:00Z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Version">
    <vt:i4>20</vt:i4>
  </op:property>
  <op:property fmtid="{D5CDD505-2E9C-101B-9397-08002B2CF9AE}" pid="3" name="tabName">
    <vt:lpwstr>Final Draft Deliverables</vt:lpwstr>
  </op:property>
  <op:property fmtid="{D5CDD505-2E9C-101B-9397-08002B2CF9AE}" pid="4" name="tabIndex">
    <vt:lpwstr>3004</vt:lpwstr>
  </op:property>
  <op:property fmtid="{D5CDD505-2E9C-101B-9397-08002B2CF9AE}" pid="5" name="workpaperIndex">
    <vt:lpwstr>3004.03</vt:lpwstr>
  </op:property>
</op:Properties>
</file>