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CF98" w14:textId="5DAFC9A1" w:rsidR="008C6A91" w:rsidRPr="002A72F5" w:rsidRDefault="002A72F5" w:rsidP="008C6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2F5">
        <w:rPr>
          <w:rFonts w:ascii="Times New Roman" w:hAnsi="Times New Roman" w:cs="Times New Roman"/>
          <w:b/>
          <w:sz w:val="28"/>
          <w:szCs w:val="28"/>
        </w:rPr>
        <w:t>Instructions</w:t>
      </w:r>
      <w:r w:rsidR="000D22F8">
        <w:rPr>
          <w:rFonts w:ascii="Times New Roman" w:hAnsi="Times New Roman" w:cs="Times New Roman"/>
          <w:b/>
          <w:sz w:val="28"/>
          <w:szCs w:val="28"/>
        </w:rPr>
        <w:t xml:space="preserve"> for Requesting </w:t>
      </w:r>
      <w:r w:rsidRPr="002A72F5">
        <w:rPr>
          <w:rFonts w:ascii="Times New Roman" w:hAnsi="Times New Roman" w:cs="Times New Roman"/>
          <w:b/>
          <w:sz w:val="28"/>
          <w:szCs w:val="28"/>
        </w:rPr>
        <w:t>BAR Authority</w:t>
      </w:r>
      <w:r w:rsidR="00FB3F1C">
        <w:rPr>
          <w:rFonts w:ascii="Times New Roman" w:hAnsi="Times New Roman" w:cs="Times New Roman"/>
          <w:b/>
          <w:sz w:val="28"/>
          <w:szCs w:val="28"/>
        </w:rPr>
        <w:t xml:space="preserve"> and </w:t>
      </w:r>
      <w:r w:rsidR="000D22F8">
        <w:rPr>
          <w:rFonts w:ascii="Times New Roman" w:hAnsi="Times New Roman" w:cs="Times New Roman"/>
          <w:b/>
          <w:sz w:val="28"/>
          <w:szCs w:val="28"/>
        </w:rPr>
        <w:t>Section 4</w:t>
      </w:r>
      <w:r w:rsidR="00FB3F1C">
        <w:rPr>
          <w:rFonts w:ascii="Times New Roman" w:hAnsi="Times New Roman" w:cs="Times New Roman"/>
          <w:b/>
          <w:sz w:val="28"/>
          <w:szCs w:val="28"/>
        </w:rPr>
        <w:t xml:space="preserve"> Language</w:t>
      </w:r>
      <w:r w:rsidR="000D22F8">
        <w:rPr>
          <w:rFonts w:ascii="Times New Roman" w:hAnsi="Times New Roman" w:cs="Times New Roman"/>
          <w:b/>
          <w:sz w:val="28"/>
          <w:szCs w:val="28"/>
        </w:rPr>
        <w:t xml:space="preserve"> in BFM</w:t>
      </w:r>
    </w:p>
    <w:p w14:paraId="34C6BF87" w14:textId="0C46A311" w:rsidR="002A72F5" w:rsidRPr="00B10516" w:rsidRDefault="002A72F5" w:rsidP="002A7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information requested on th</w:t>
      </w:r>
      <w:r w:rsidR="000D22F8">
        <w:rPr>
          <w:rFonts w:ascii="Times New Roman" w:hAnsi="Times New Roman" w:cs="Times New Roman"/>
          <w:sz w:val="24"/>
          <w:szCs w:val="24"/>
        </w:rPr>
        <w:t>e 2600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48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you require language for Section 4 (operating budget</w:t>
      </w:r>
      <w:r w:rsidR="000D22F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or ad</w:t>
      </w:r>
      <w:r w:rsidR="00FB3F1C">
        <w:rPr>
          <w:rFonts w:ascii="Times New Roman" w:hAnsi="Times New Roman" w:cs="Times New Roman"/>
          <w:sz w:val="24"/>
          <w:szCs w:val="24"/>
        </w:rPr>
        <w:t>ditional BAR authority for FY</w:t>
      </w:r>
      <w:r w:rsidR="001E009E">
        <w:rPr>
          <w:rFonts w:ascii="Times New Roman" w:hAnsi="Times New Roman" w:cs="Times New Roman"/>
          <w:sz w:val="24"/>
          <w:szCs w:val="24"/>
        </w:rPr>
        <w:t>2</w:t>
      </w:r>
      <w:r w:rsidR="000D22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E42A38">
        <w:rPr>
          <w:rFonts w:ascii="Times New Roman" w:hAnsi="Times New Roman" w:cs="Times New Roman"/>
          <w:sz w:val="24"/>
          <w:szCs w:val="24"/>
          <w:u w:val="single"/>
        </w:rPr>
        <w:t>agency specific</w:t>
      </w:r>
      <w:r w:rsidR="001E009E">
        <w:rPr>
          <w:rFonts w:ascii="Times New Roman" w:hAnsi="Times New Roman" w:cs="Times New Roman"/>
          <w:sz w:val="24"/>
          <w:szCs w:val="24"/>
        </w:rPr>
        <w:t xml:space="preserve"> FY2</w:t>
      </w:r>
      <w:r w:rsidR="000D22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BAR authority. If you do not have any of these special language requests</w:t>
      </w:r>
      <w:r w:rsidR="00A246AF">
        <w:rPr>
          <w:rFonts w:ascii="Times New Roman" w:hAnsi="Times New Roman" w:cs="Times New Roman"/>
          <w:sz w:val="24"/>
          <w:szCs w:val="24"/>
        </w:rPr>
        <w:t xml:space="preserve">, you do not need to </w:t>
      </w:r>
      <w:r w:rsidR="00A246AF" w:rsidRPr="00B10516">
        <w:rPr>
          <w:rFonts w:ascii="Times New Roman" w:hAnsi="Times New Roman" w:cs="Times New Roman"/>
          <w:sz w:val="24"/>
          <w:szCs w:val="24"/>
        </w:rPr>
        <w:t>submit this form.</w:t>
      </w:r>
    </w:p>
    <w:p w14:paraId="47AE788E" w14:textId="599DC935" w:rsidR="005F1399" w:rsidRPr="00B10516" w:rsidRDefault="000D22F8" w:rsidP="002A7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10516">
        <w:rPr>
          <w:rFonts w:ascii="Times New Roman" w:hAnsi="Times New Roman" w:cs="Times New Roman"/>
          <w:sz w:val="24"/>
          <w:szCs w:val="24"/>
        </w:rPr>
        <w:t xml:space="preserve">Navigate to the 2600 form and click Add New.  </w:t>
      </w:r>
      <w:r w:rsidRPr="00B10516">
        <w:rPr>
          <w:rFonts w:ascii="Times New Roman" w:hAnsi="Times New Roman" w:cs="Times New Roman"/>
          <w:sz w:val="24"/>
          <w:szCs w:val="24"/>
          <w:u w:val="single"/>
        </w:rPr>
        <w:t>Create a new form for each request.</w:t>
      </w:r>
    </w:p>
    <w:p w14:paraId="153CCEE6" w14:textId="30BE647B" w:rsidR="000D22F8" w:rsidRPr="000D22F8" w:rsidRDefault="000D22F8" w:rsidP="000D2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0516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stage </w:t>
      </w:r>
      <w:r w:rsidR="00154D6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01 from the Stage dropdown, enter your BU and give the request a name.  Click on Save.</w:t>
      </w:r>
    </w:p>
    <w:p w14:paraId="63E591F1" w14:textId="651E8B00" w:rsidR="00672899" w:rsidRDefault="000D22F8" w:rsidP="000D2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info is entered on the Header tab.  </w:t>
      </w:r>
      <w:r w:rsidR="00672899">
        <w:rPr>
          <w:rFonts w:ascii="Times New Roman" w:hAnsi="Times New Roman" w:cs="Times New Roman"/>
          <w:sz w:val="24"/>
          <w:szCs w:val="24"/>
        </w:rPr>
        <w:t>Click on Save when done.  Supplemental documents can be added via the Attachments tab but are not required.</w:t>
      </w:r>
    </w:p>
    <w:p w14:paraId="5FC777C8" w14:textId="66ADE19F" w:rsidR="00605C6C" w:rsidRDefault="00605C6C" w:rsidP="00605C6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B580B5" wp14:editId="6E5ED652">
            <wp:extent cx="5308979" cy="3939762"/>
            <wp:effectExtent l="0" t="0" r="6350" b="381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088" cy="394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1DD87" w14:textId="77777777" w:rsidR="00605C6C" w:rsidRDefault="00605C6C" w:rsidP="00605C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CDEF3B" w14:textId="3369260D" w:rsidR="000D22F8" w:rsidRDefault="00FB3F1C" w:rsidP="000D2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include a brief justification for each request stating why such language is needed for the agency to carry out its mission.</w:t>
      </w:r>
      <w:r w:rsidR="000D22F8">
        <w:rPr>
          <w:rFonts w:ascii="Times New Roman" w:hAnsi="Times New Roman" w:cs="Times New Roman"/>
          <w:sz w:val="24"/>
          <w:szCs w:val="24"/>
        </w:rPr>
        <w:t xml:space="preserve">  Enter agency contact and phone number at the right.</w:t>
      </w:r>
    </w:p>
    <w:p w14:paraId="7CD9D42B" w14:textId="4E21E016" w:rsidR="000D22F8" w:rsidRPr="000D22F8" w:rsidRDefault="000D22F8" w:rsidP="000D22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the appropriate checkbox for the type of request at the right.</w:t>
      </w:r>
    </w:p>
    <w:p w14:paraId="286A4056" w14:textId="3443B8DF" w:rsidR="002A72F5" w:rsidRDefault="000D22F8" w:rsidP="002A7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Enter the requested language.  </w:t>
      </w:r>
      <w:r w:rsidR="002A72F5">
        <w:rPr>
          <w:rFonts w:ascii="Times New Roman" w:hAnsi="Times New Roman" w:cs="Times New Roman"/>
          <w:sz w:val="24"/>
          <w:szCs w:val="24"/>
        </w:rPr>
        <w:t>Follow the capitalization and formatting conventions outline</w:t>
      </w:r>
      <w:r>
        <w:rPr>
          <w:rFonts w:ascii="Times New Roman" w:hAnsi="Times New Roman" w:cs="Times New Roman"/>
          <w:sz w:val="24"/>
          <w:szCs w:val="24"/>
        </w:rPr>
        <w:t>d</w:t>
      </w:r>
      <w:r w:rsidR="002A72F5">
        <w:rPr>
          <w:rFonts w:ascii="Times New Roman" w:hAnsi="Times New Roman" w:cs="Times New Roman"/>
          <w:sz w:val="24"/>
          <w:szCs w:val="24"/>
        </w:rPr>
        <w:t xml:space="preserve"> below:</w:t>
      </w:r>
    </w:p>
    <w:p w14:paraId="0F32F4D8" w14:textId="77777777" w:rsidR="002A72F5" w:rsidRPr="009E4745" w:rsidRDefault="002A72F5" w:rsidP="002A72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words are not capitalized except at the beginning of a sentence; however, you should capitalize the following: </w:t>
      </w:r>
      <w:r w:rsidRPr="00772B41">
        <w:rPr>
          <w:rFonts w:ascii="Times New Roman" w:hAnsi="Times New Roman" w:cs="Times New Roman"/>
          <w:b/>
          <w:sz w:val="24"/>
          <w:szCs w:val="24"/>
        </w:rPr>
        <w:t>place names</w:t>
      </w:r>
      <w:r w:rsidRPr="00772B41">
        <w:rPr>
          <w:rFonts w:ascii="Times New Roman" w:hAnsi="Times New Roman" w:cs="Times New Roman"/>
          <w:sz w:val="24"/>
          <w:szCs w:val="24"/>
        </w:rPr>
        <w:t xml:space="preserve"> (e.g. </w:t>
      </w:r>
      <w:r w:rsidRPr="00772B41">
        <w:rPr>
          <w:rFonts w:ascii="Times New Roman" w:hAnsi="Times New Roman" w:cs="Times New Roman"/>
          <w:i/>
          <w:sz w:val="24"/>
          <w:szCs w:val="24"/>
        </w:rPr>
        <w:t>New Mexico</w:t>
      </w:r>
      <w:r w:rsidRPr="00772B41">
        <w:rPr>
          <w:rFonts w:ascii="Times New Roman" w:hAnsi="Times New Roman" w:cs="Times New Roman"/>
          <w:sz w:val="24"/>
          <w:szCs w:val="24"/>
        </w:rPr>
        <w:t xml:space="preserve">, </w:t>
      </w:r>
      <w:r w:rsidRPr="00772B41">
        <w:rPr>
          <w:rFonts w:ascii="Times New Roman" w:hAnsi="Times New Roman" w:cs="Times New Roman"/>
          <w:i/>
          <w:sz w:val="24"/>
          <w:szCs w:val="24"/>
        </w:rPr>
        <w:t>United States</w:t>
      </w:r>
      <w:r w:rsidRPr="00772B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B41">
        <w:rPr>
          <w:rFonts w:ascii="Times New Roman" w:hAnsi="Times New Roman" w:cs="Times New Roman"/>
          <w:i/>
          <w:sz w:val="24"/>
          <w:szCs w:val="24"/>
        </w:rPr>
        <w:t>Santa Fe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B41">
        <w:rPr>
          <w:rFonts w:ascii="Times New Roman" w:hAnsi="Times New Roman" w:cs="Times New Roman"/>
          <w:sz w:val="24"/>
          <w:szCs w:val="24"/>
        </w:rPr>
        <w:t>county – note “county” is not capitalized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Ute </w:t>
      </w:r>
      <w:r w:rsidRPr="0077073F">
        <w:rPr>
          <w:rFonts w:ascii="Times New Roman" w:hAnsi="Times New Roman" w:cs="Times New Roman"/>
          <w:sz w:val="24"/>
          <w:szCs w:val="24"/>
        </w:rPr>
        <w:t>reservoir,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93">
        <w:rPr>
          <w:rFonts w:ascii="Times New Roman" w:hAnsi="Times New Roman" w:cs="Times New Roman"/>
          <w:i/>
          <w:sz w:val="24"/>
          <w:szCs w:val="24"/>
        </w:rPr>
        <w:t xml:space="preserve">Vaughn </w:t>
      </w:r>
      <w:r>
        <w:rPr>
          <w:rFonts w:ascii="Times New Roman" w:hAnsi="Times New Roman" w:cs="Times New Roman"/>
          <w:sz w:val="24"/>
          <w:szCs w:val="24"/>
        </w:rPr>
        <w:t xml:space="preserve">pipeline, etc.); </w:t>
      </w:r>
      <w:r>
        <w:rPr>
          <w:rFonts w:ascii="Times New Roman" w:hAnsi="Times New Roman" w:cs="Times New Roman"/>
          <w:b/>
          <w:sz w:val="24"/>
          <w:szCs w:val="24"/>
        </w:rPr>
        <w:t>proper</w:t>
      </w:r>
      <w:r w:rsidRPr="0077073F">
        <w:rPr>
          <w:rFonts w:ascii="Times New Roman" w:hAnsi="Times New Roman" w:cs="Times New Roman"/>
          <w:b/>
          <w:sz w:val="24"/>
          <w:szCs w:val="24"/>
        </w:rPr>
        <w:t xml:space="preserve"> names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73F">
        <w:rPr>
          <w:rFonts w:ascii="Times New Roman" w:hAnsi="Times New Roman" w:cs="Times New Roman"/>
          <w:sz w:val="24"/>
          <w:szCs w:val="24"/>
        </w:rPr>
        <w:t>(</w:t>
      </w:r>
      <w:r w:rsidRPr="0077073F">
        <w:rPr>
          <w:rFonts w:ascii="Times New Roman" w:hAnsi="Times New Roman" w:cs="Times New Roman"/>
          <w:i/>
          <w:sz w:val="24"/>
          <w:szCs w:val="24"/>
        </w:rPr>
        <w:t>Vigil-Giron, Gutierrez</w:t>
      </w:r>
      <w:r w:rsidRPr="0077073F">
        <w:rPr>
          <w:rFonts w:ascii="Times New Roman" w:hAnsi="Times New Roman" w:cs="Times New Roman"/>
          <w:sz w:val="24"/>
          <w:szCs w:val="24"/>
        </w:rPr>
        <w:t xml:space="preserve">, and </w:t>
      </w:r>
      <w:r w:rsidRPr="0077073F">
        <w:rPr>
          <w:rFonts w:ascii="Times New Roman" w:hAnsi="Times New Roman" w:cs="Times New Roman"/>
          <w:i/>
          <w:sz w:val="24"/>
          <w:szCs w:val="24"/>
        </w:rPr>
        <w:t>Kupfe</w:t>
      </w:r>
      <w:r w:rsidRPr="0077073F">
        <w:rPr>
          <w:rFonts w:ascii="Times New Roman" w:hAnsi="Times New Roman" w:cs="Times New Roman"/>
          <w:sz w:val="24"/>
          <w:szCs w:val="24"/>
        </w:rPr>
        <w:t>r cases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9E4745">
        <w:rPr>
          <w:rFonts w:ascii="Times New Roman" w:hAnsi="Times New Roman" w:cs="Times New Roman"/>
          <w:b/>
          <w:sz w:val="24"/>
          <w:szCs w:val="24"/>
        </w:rPr>
        <w:lastRenderedPageBreak/>
        <w:t>legislative acts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72B41">
        <w:rPr>
          <w:rFonts w:ascii="Times New Roman" w:hAnsi="Times New Roman" w:cs="Times New Roman"/>
          <w:i/>
          <w:sz w:val="24"/>
          <w:szCs w:val="24"/>
        </w:rPr>
        <w:t>Title IV-E</w:t>
      </w:r>
      <w:r>
        <w:rPr>
          <w:rFonts w:ascii="Times New Roman" w:hAnsi="Times New Roman" w:cs="Times New Roman"/>
          <w:sz w:val="24"/>
          <w:szCs w:val="24"/>
        </w:rPr>
        <w:t xml:space="preserve"> funds, Section 12 of </w:t>
      </w:r>
      <w:r w:rsidRPr="00772B41">
        <w:rPr>
          <w:rFonts w:ascii="Times New Roman" w:hAnsi="Times New Roman" w:cs="Times New Roman"/>
          <w:i/>
          <w:sz w:val="24"/>
          <w:szCs w:val="24"/>
        </w:rPr>
        <w:t>Chapter 114 of Laws 2004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72B41">
        <w:rPr>
          <w:rFonts w:ascii="Times New Roman" w:hAnsi="Times New Roman" w:cs="Times New Roman"/>
          <w:i/>
          <w:sz w:val="24"/>
          <w:szCs w:val="24"/>
        </w:rPr>
        <w:t>Indian Education Act,</w:t>
      </w:r>
      <w:r>
        <w:rPr>
          <w:rFonts w:ascii="Times New Roman" w:hAnsi="Times New Roman" w:cs="Times New Roman"/>
          <w:sz w:val="24"/>
          <w:szCs w:val="24"/>
        </w:rPr>
        <w:t xml:space="preserve"> etc.); </w:t>
      </w:r>
      <w:r w:rsidRPr="009E4745">
        <w:rPr>
          <w:rFonts w:ascii="Times New Roman" w:hAnsi="Times New Roman" w:cs="Times New Roman"/>
          <w:b/>
          <w:i/>
          <w:sz w:val="24"/>
          <w:szCs w:val="24"/>
        </w:rPr>
        <w:t>months of the year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E4745">
        <w:rPr>
          <w:rFonts w:ascii="Times New Roman" w:hAnsi="Times New Roman" w:cs="Times New Roman"/>
          <w:i/>
          <w:sz w:val="24"/>
          <w:szCs w:val="24"/>
        </w:rPr>
        <w:t>May, June</w:t>
      </w:r>
      <w:r>
        <w:rPr>
          <w:rFonts w:ascii="Times New Roman" w:hAnsi="Times New Roman" w:cs="Times New Roman"/>
          <w:sz w:val="24"/>
          <w:szCs w:val="24"/>
        </w:rPr>
        <w:t xml:space="preserve">, etc.), and the </w:t>
      </w:r>
      <w:r w:rsidRPr="009E4745">
        <w:rPr>
          <w:rFonts w:ascii="Times New Roman" w:hAnsi="Times New Roman" w:cs="Times New Roman"/>
          <w:b/>
          <w:sz w:val="24"/>
          <w:szCs w:val="24"/>
        </w:rPr>
        <w:t xml:space="preserve">words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E4745">
        <w:rPr>
          <w:rFonts w:ascii="Times New Roman" w:hAnsi="Times New Roman" w:cs="Times New Roman"/>
          <w:i/>
          <w:sz w:val="24"/>
          <w:szCs w:val="24"/>
        </w:rPr>
        <w:t xml:space="preserve">Indian” and “Native </w:t>
      </w:r>
      <w:r>
        <w:rPr>
          <w:rFonts w:ascii="Times New Roman" w:hAnsi="Times New Roman" w:cs="Times New Roman"/>
          <w:i/>
          <w:sz w:val="24"/>
          <w:szCs w:val="24"/>
        </w:rPr>
        <w:t>American.”</w:t>
      </w:r>
    </w:p>
    <w:p w14:paraId="30E7AE87" w14:textId="77777777" w:rsidR="002A72F5" w:rsidRDefault="002A72F5" w:rsidP="002A72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9E4745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capitalize the names of age</w:t>
      </w:r>
      <w:r w:rsidRPr="009E4745">
        <w:rPr>
          <w:rFonts w:ascii="Times New Roman" w:hAnsi="Times New Roman" w:cs="Times New Roman"/>
          <w:sz w:val="24"/>
          <w:szCs w:val="24"/>
        </w:rPr>
        <w:t>ncies, departments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4745">
        <w:rPr>
          <w:rFonts w:ascii="Times New Roman" w:hAnsi="Times New Roman" w:cs="Times New Roman"/>
          <w:sz w:val="24"/>
          <w:szCs w:val="24"/>
        </w:rPr>
        <w:t xml:space="preserve"> divisions</w:t>
      </w:r>
      <w:r>
        <w:rPr>
          <w:rFonts w:ascii="Times New Roman" w:hAnsi="Times New Roman" w:cs="Times New Roman"/>
          <w:sz w:val="24"/>
          <w:szCs w:val="24"/>
        </w:rPr>
        <w:t>, programs</w:t>
      </w:r>
      <w:r w:rsidRPr="009E4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funds.</w:t>
      </w:r>
    </w:p>
    <w:p w14:paraId="431F4364" w14:textId="77777777" w:rsidR="002A72F5" w:rsidRDefault="002A72F5" w:rsidP="002A72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capitalize the beginning word of clauses that contain agency-specific BAR adjustment language (See BAR examples below).</w:t>
      </w:r>
    </w:p>
    <w:p w14:paraId="21691EB5" w14:textId="77777777" w:rsidR="002A72F5" w:rsidRDefault="002A72F5" w:rsidP="002A72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standard format/legislative conventions for structuring sentences such as the following:</w:t>
      </w:r>
    </w:p>
    <w:p w14:paraId="58CBD540" w14:textId="77777777" w:rsidR="002A72F5" w:rsidRDefault="002A72F5" w:rsidP="002A72F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EC0EDBD" w14:textId="77777777" w:rsidR="002A72F5" w:rsidRDefault="002A72F5" w:rsidP="002A72F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69485D">
        <w:rPr>
          <w:rFonts w:ascii="Times New Roman" w:hAnsi="Times New Roman" w:cs="Times New Roman"/>
          <w:b/>
          <w:sz w:val="24"/>
          <w:szCs w:val="24"/>
        </w:rPr>
        <w:t>Section 4</w:t>
      </w:r>
      <w:r>
        <w:rPr>
          <w:rFonts w:ascii="Times New Roman" w:hAnsi="Times New Roman" w:cs="Times New Roman"/>
          <w:sz w:val="24"/>
          <w:szCs w:val="24"/>
        </w:rPr>
        <w:t xml:space="preserve">: The </w:t>
      </w:r>
      <w:r w:rsidRPr="00924170">
        <w:rPr>
          <w:rFonts w:ascii="Times New Roman" w:hAnsi="Times New Roman" w:cs="Times New Roman"/>
          <w:b/>
          <w:sz w:val="24"/>
          <w:szCs w:val="24"/>
        </w:rPr>
        <w:t>(category of fund</w:t>
      </w:r>
      <w:r w:rsidRPr="0077073F">
        <w:rPr>
          <w:rFonts w:ascii="Times New Roman" w:hAnsi="Times New Roman" w:cs="Times New Roman"/>
          <w:sz w:val="24"/>
          <w:szCs w:val="24"/>
        </w:rPr>
        <w:t xml:space="preserve">) appropriation to the </w:t>
      </w:r>
      <w:r w:rsidRPr="00924170">
        <w:rPr>
          <w:rFonts w:ascii="Times New Roman" w:hAnsi="Times New Roman" w:cs="Times New Roman"/>
          <w:b/>
          <w:sz w:val="24"/>
          <w:szCs w:val="24"/>
        </w:rPr>
        <w:t>(name of program)</w:t>
      </w:r>
      <w:r w:rsidRPr="0077073F">
        <w:rPr>
          <w:rFonts w:ascii="Times New Roman" w:hAnsi="Times New Roman" w:cs="Times New Roman"/>
          <w:sz w:val="24"/>
          <w:szCs w:val="24"/>
        </w:rPr>
        <w:t xml:space="preserve"> of the </w:t>
      </w:r>
      <w:r w:rsidRPr="00924170">
        <w:rPr>
          <w:rFonts w:ascii="Times New Roman" w:hAnsi="Times New Roman" w:cs="Times New Roman"/>
          <w:b/>
          <w:sz w:val="24"/>
          <w:szCs w:val="24"/>
        </w:rPr>
        <w:t>(name of department)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73F">
        <w:rPr>
          <w:rFonts w:ascii="Times New Roman" w:hAnsi="Times New Roman" w:cs="Times New Roman"/>
          <w:sz w:val="24"/>
          <w:szCs w:val="24"/>
        </w:rPr>
        <w:t>include (</w:t>
      </w:r>
      <w:r w:rsidRPr="00924170">
        <w:rPr>
          <w:rFonts w:ascii="Times New Roman" w:hAnsi="Times New Roman" w:cs="Times New Roman"/>
          <w:b/>
          <w:sz w:val="24"/>
          <w:szCs w:val="24"/>
        </w:rPr>
        <w:t>dollars expressed in words</w:t>
      </w:r>
      <w:r w:rsidRPr="0077073F">
        <w:rPr>
          <w:rFonts w:ascii="Times New Roman" w:hAnsi="Times New Roman" w:cs="Times New Roman"/>
          <w:sz w:val="24"/>
          <w:szCs w:val="24"/>
        </w:rPr>
        <w:t xml:space="preserve">) </w:t>
      </w:r>
      <w:r w:rsidRPr="00924170">
        <w:rPr>
          <w:rFonts w:ascii="Times New Roman" w:hAnsi="Times New Roman" w:cs="Times New Roman"/>
          <w:b/>
          <w:sz w:val="24"/>
          <w:szCs w:val="24"/>
        </w:rPr>
        <w:t>(dollars in numerals</w:t>
      </w:r>
      <w:r w:rsidRPr="0077073F">
        <w:rPr>
          <w:rFonts w:ascii="Times New Roman" w:hAnsi="Times New Roman" w:cs="Times New Roman"/>
          <w:sz w:val="24"/>
          <w:szCs w:val="24"/>
        </w:rPr>
        <w:t>) for (</w:t>
      </w:r>
      <w:r w:rsidRPr="00924170">
        <w:rPr>
          <w:rFonts w:ascii="Times New Roman" w:hAnsi="Times New Roman" w:cs="Times New Roman"/>
          <w:b/>
          <w:sz w:val="24"/>
          <w:szCs w:val="24"/>
        </w:rPr>
        <w:t>the source and/or purpose of funds</w:t>
      </w:r>
      <w:r w:rsidRPr="0077073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D3E4E" w14:textId="77777777" w:rsidR="002A72F5" w:rsidRDefault="002A72F5" w:rsidP="002A72F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BFC1D95" w14:textId="77777777" w:rsidR="002A72F5" w:rsidRDefault="002A72F5" w:rsidP="002A72F5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69485D">
        <w:rPr>
          <w:rFonts w:ascii="Times New Roman" w:hAnsi="Times New Roman" w:cs="Times New Roman"/>
          <w:i/>
          <w:sz w:val="24"/>
          <w:szCs w:val="24"/>
        </w:rPr>
        <w:t>The other stare funds appropriation to the university of New Mexico health sciences center include two million nine hundred sixty-two dollars ($2,962,100) from the tobacco settlement program fund.</w:t>
      </w:r>
    </w:p>
    <w:p w14:paraId="287C9F61" w14:textId="732F5A7D" w:rsidR="002A72F5" w:rsidRPr="00672899" w:rsidRDefault="002A72F5" w:rsidP="00672899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general fund appropriation to the administrative program of the department of health in the contractual services category include two hundred thousand dollars ($200,000) for evaluation and services for victims of sexual assault.</w:t>
      </w:r>
    </w:p>
    <w:p w14:paraId="4FFB1332" w14:textId="77777777" w:rsidR="002A72F5" w:rsidRPr="003C4128" w:rsidRDefault="002A72F5" w:rsidP="002A72F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69485D">
        <w:rPr>
          <w:rFonts w:ascii="Times New Roman" w:hAnsi="Times New Roman" w:cs="Times New Roman"/>
          <w:b/>
          <w:sz w:val="24"/>
          <w:szCs w:val="24"/>
        </w:rPr>
        <w:t>BAR Language</w:t>
      </w:r>
      <w:r>
        <w:rPr>
          <w:rFonts w:ascii="Times New Roman" w:hAnsi="Times New Roman" w:cs="Times New Roman"/>
          <w:sz w:val="24"/>
          <w:szCs w:val="24"/>
        </w:rPr>
        <w:t>: the (</w:t>
      </w:r>
      <w:r w:rsidRPr="00924170">
        <w:rPr>
          <w:rFonts w:ascii="Times New Roman" w:hAnsi="Times New Roman" w:cs="Times New Roman"/>
          <w:b/>
          <w:sz w:val="24"/>
          <w:szCs w:val="24"/>
        </w:rPr>
        <w:t>name of program</w:t>
      </w:r>
      <w:r>
        <w:rPr>
          <w:rFonts w:ascii="Times New Roman" w:hAnsi="Times New Roman" w:cs="Times New Roman"/>
          <w:sz w:val="24"/>
          <w:szCs w:val="24"/>
        </w:rPr>
        <w:t>) of the (</w:t>
      </w:r>
      <w:r w:rsidRPr="00924170">
        <w:rPr>
          <w:rFonts w:ascii="Times New Roman" w:hAnsi="Times New Roman" w:cs="Times New Roman"/>
          <w:b/>
          <w:sz w:val="24"/>
          <w:szCs w:val="24"/>
        </w:rPr>
        <w:t>name of agency</w:t>
      </w:r>
      <w:r>
        <w:rPr>
          <w:rFonts w:ascii="Times New Roman" w:hAnsi="Times New Roman" w:cs="Times New Roman"/>
          <w:sz w:val="24"/>
          <w:szCs w:val="24"/>
        </w:rPr>
        <w:t>) may request budget in</w:t>
      </w:r>
      <w:r w:rsidR="00546FB9">
        <w:rPr>
          <w:rFonts w:ascii="Times New Roman" w:hAnsi="Times New Roman" w:cs="Times New Roman"/>
          <w:sz w:val="24"/>
          <w:szCs w:val="24"/>
        </w:rPr>
        <w:t>creases up to (</w:t>
      </w:r>
      <w:r w:rsidR="00546FB9" w:rsidRPr="00924170">
        <w:rPr>
          <w:rFonts w:ascii="Times New Roman" w:hAnsi="Times New Roman" w:cs="Times New Roman"/>
          <w:b/>
          <w:sz w:val="24"/>
          <w:szCs w:val="24"/>
        </w:rPr>
        <w:t>dollars expressed</w:t>
      </w:r>
      <w:r w:rsidRPr="00924170">
        <w:rPr>
          <w:rFonts w:ascii="Times New Roman" w:hAnsi="Times New Roman" w:cs="Times New Roman"/>
          <w:b/>
          <w:sz w:val="24"/>
          <w:szCs w:val="24"/>
        </w:rPr>
        <w:t xml:space="preserve"> in words</w:t>
      </w:r>
      <w:r>
        <w:rPr>
          <w:rFonts w:ascii="Times New Roman" w:hAnsi="Times New Roman" w:cs="Times New Roman"/>
          <w:sz w:val="24"/>
          <w:szCs w:val="24"/>
        </w:rPr>
        <w:t>) (</w:t>
      </w:r>
      <w:r w:rsidRPr="00924170">
        <w:rPr>
          <w:rFonts w:ascii="Times New Roman" w:hAnsi="Times New Roman" w:cs="Times New Roman"/>
          <w:b/>
          <w:sz w:val="24"/>
          <w:szCs w:val="24"/>
        </w:rPr>
        <w:t>dollars in numerals</w:t>
      </w:r>
      <w:r>
        <w:rPr>
          <w:rFonts w:ascii="Times New Roman" w:hAnsi="Times New Roman" w:cs="Times New Roman"/>
          <w:sz w:val="24"/>
          <w:szCs w:val="24"/>
        </w:rPr>
        <w:t>) from (</w:t>
      </w:r>
      <w:r w:rsidRPr="00924170">
        <w:rPr>
          <w:rFonts w:ascii="Times New Roman" w:hAnsi="Times New Roman" w:cs="Times New Roman"/>
          <w:b/>
          <w:sz w:val="24"/>
          <w:szCs w:val="24"/>
        </w:rPr>
        <w:t>source or type of funding</w:t>
      </w:r>
      <w:r>
        <w:rPr>
          <w:rFonts w:ascii="Times New Roman" w:hAnsi="Times New Roman" w:cs="Times New Roman"/>
          <w:sz w:val="24"/>
          <w:szCs w:val="24"/>
        </w:rPr>
        <w:t>) for (</w:t>
      </w:r>
      <w:r w:rsidRPr="00924170">
        <w:rPr>
          <w:rFonts w:ascii="Times New Roman" w:hAnsi="Times New Roman" w:cs="Times New Roman"/>
          <w:b/>
          <w:sz w:val="24"/>
          <w:szCs w:val="24"/>
        </w:rPr>
        <w:t>purpose or use of funds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3C412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1C3F86" w14:textId="77777777" w:rsidR="002A72F5" w:rsidRDefault="002A72F5" w:rsidP="002A72F5">
      <w:pPr>
        <w:pStyle w:val="ListParagraph"/>
        <w:numPr>
          <w:ilvl w:val="4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621EED">
        <w:rPr>
          <w:rFonts w:ascii="Times New Roman" w:hAnsi="Times New Roman" w:cs="Times New Roman"/>
          <w:i/>
          <w:sz w:val="24"/>
          <w:szCs w:val="24"/>
        </w:rPr>
        <w:t>the New Mexico medical board may request budget increases up to one hundred thousand dollars ($100,000) from other state funds for the administrative hearing and litigation process;</w:t>
      </w:r>
    </w:p>
    <w:p w14:paraId="4CBDFA21" w14:textId="32C5DABF" w:rsidR="002A72F5" w:rsidRDefault="002A72F5" w:rsidP="002A72F5">
      <w:pPr>
        <w:pStyle w:val="ListParagraph"/>
        <w:numPr>
          <w:ilvl w:val="4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interstate stream compact compliance and water development program of the state engineer may request budget increases up to three hundred thousand dollars for Pecos water settlement compliance;</w:t>
      </w:r>
    </w:p>
    <w:p w14:paraId="6B65AFA5" w14:textId="17BC5D08" w:rsidR="00B10516" w:rsidRPr="00B10516" w:rsidRDefault="00B10516" w:rsidP="00B105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B10516">
        <w:rPr>
          <w:rFonts w:ascii="Times New Roman" w:hAnsi="Times New Roman" w:cs="Times New Roman"/>
          <w:iCs/>
          <w:sz w:val="24"/>
          <w:szCs w:val="24"/>
        </w:rPr>
        <w:t>Do not enter anything in the Analyst comments box.</w:t>
      </w:r>
    </w:p>
    <w:p w14:paraId="341613ED" w14:textId="617F0108" w:rsidR="00672899" w:rsidRDefault="00672899" w:rsidP="006728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10516">
        <w:rPr>
          <w:rFonts w:ascii="Times New Roman" w:hAnsi="Times New Roman" w:cs="Times New Roman"/>
          <w:iCs/>
          <w:sz w:val="24"/>
          <w:szCs w:val="24"/>
        </w:rPr>
        <w:t xml:space="preserve">When the request is complete, click on Submit to send the </w:t>
      </w:r>
      <w:r w:rsidR="00B10516" w:rsidRPr="00B10516">
        <w:rPr>
          <w:rFonts w:ascii="Times New Roman" w:hAnsi="Times New Roman" w:cs="Times New Roman"/>
          <w:iCs/>
          <w:sz w:val="24"/>
          <w:szCs w:val="24"/>
        </w:rPr>
        <w:t xml:space="preserve">request through your agency review.  When finalized, submit to stage 2604 which will simultaneously submit to DFA and LFC.  Requests must be submitted by </w:t>
      </w:r>
      <w:r w:rsidR="00B10516" w:rsidRPr="00B10516">
        <w:rPr>
          <w:rFonts w:ascii="Times New Roman" w:hAnsi="Times New Roman" w:cs="Times New Roman"/>
          <w:b/>
          <w:bCs/>
          <w:iCs/>
          <w:sz w:val="24"/>
          <w:szCs w:val="24"/>
        </w:rPr>
        <w:t>Friday, October 29, 2021.</w:t>
      </w:r>
    </w:p>
    <w:p w14:paraId="6057749C" w14:textId="27184172" w:rsidR="00342FC2" w:rsidRPr="00DF4CC3" w:rsidRDefault="00342FC2" w:rsidP="006728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DF4CC3">
        <w:rPr>
          <w:rFonts w:ascii="Times New Roman" w:hAnsi="Times New Roman" w:cs="Times New Roman"/>
          <w:iCs/>
          <w:sz w:val="24"/>
          <w:szCs w:val="24"/>
        </w:rPr>
        <w:t xml:space="preserve">In BFM </w:t>
      </w:r>
      <w:r w:rsidR="00154D6C">
        <w:rPr>
          <w:rFonts w:ascii="Times New Roman" w:hAnsi="Times New Roman" w:cs="Times New Roman"/>
          <w:iCs/>
          <w:sz w:val="24"/>
          <w:szCs w:val="24"/>
        </w:rPr>
        <w:t>R</w:t>
      </w:r>
      <w:r w:rsidRPr="00DF4CC3">
        <w:rPr>
          <w:rFonts w:ascii="Times New Roman" w:hAnsi="Times New Roman" w:cs="Times New Roman"/>
          <w:iCs/>
          <w:sz w:val="24"/>
          <w:szCs w:val="24"/>
        </w:rPr>
        <w:t xml:space="preserve">eporting you can print a report that will list all of your language requests.  However this is informational only and is </w:t>
      </w:r>
      <w:r w:rsidRPr="00676786">
        <w:rPr>
          <w:rFonts w:ascii="Times New Roman" w:hAnsi="Times New Roman" w:cs="Times New Roman"/>
          <w:iCs/>
          <w:sz w:val="24"/>
          <w:szCs w:val="24"/>
          <w:u w:val="single"/>
        </w:rPr>
        <w:t>not required</w:t>
      </w:r>
      <w:r w:rsidRPr="00DF4CC3">
        <w:rPr>
          <w:rFonts w:ascii="Times New Roman" w:hAnsi="Times New Roman" w:cs="Times New Roman"/>
          <w:iCs/>
          <w:sz w:val="24"/>
          <w:szCs w:val="24"/>
        </w:rPr>
        <w:t xml:space="preserve"> to submit to DFA and LFC.</w:t>
      </w:r>
    </w:p>
    <w:p w14:paraId="2F31A6F8" w14:textId="77777777" w:rsidR="00FB3F1C" w:rsidRPr="00FB3F1C" w:rsidRDefault="00FB3F1C" w:rsidP="00FB3F1C">
      <w:pPr>
        <w:rPr>
          <w:rFonts w:ascii="Times New Roman" w:hAnsi="Times New Roman" w:cs="Times New Roman"/>
          <w:i/>
          <w:sz w:val="24"/>
          <w:szCs w:val="24"/>
        </w:rPr>
      </w:pPr>
    </w:p>
    <w:p w14:paraId="1EDF4FE9" w14:textId="77777777" w:rsidR="00B87C4F" w:rsidRPr="00B87C4F" w:rsidRDefault="00B87C4F" w:rsidP="00B87C4F">
      <w:pPr>
        <w:rPr>
          <w:rFonts w:ascii="Times New Roman" w:hAnsi="Times New Roman" w:cs="Times New Roman"/>
          <w:i/>
          <w:sz w:val="24"/>
          <w:szCs w:val="24"/>
        </w:rPr>
      </w:pPr>
    </w:p>
    <w:p w14:paraId="780972FC" w14:textId="77777777" w:rsidR="002A72F5" w:rsidRPr="0077073F" w:rsidRDefault="002A72F5" w:rsidP="002A72F5">
      <w:pPr>
        <w:rPr>
          <w:rFonts w:ascii="Times New Roman" w:hAnsi="Times New Roman" w:cs="Times New Roman"/>
          <w:sz w:val="24"/>
          <w:szCs w:val="24"/>
        </w:rPr>
      </w:pPr>
    </w:p>
    <w:p w14:paraId="1D8D297B" w14:textId="77777777" w:rsidR="00313598" w:rsidRDefault="00313598"/>
    <w:sectPr w:rsidR="00313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4A6D"/>
    <w:multiLevelType w:val="hybridMultilevel"/>
    <w:tmpl w:val="F7807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977B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06324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2D73EF5"/>
    <w:multiLevelType w:val="hybridMultilevel"/>
    <w:tmpl w:val="44FCE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A398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F5"/>
    <w:rsid w:val="000D22F8"/>
    <w:rsid w:val="00154D6C"/>
    <w:rsid w:val="001B5F89"/>
    <w:rsid w:val="001E009E"/>
    <w:rsid w:val="002A72F5"/>
    <w:rsid w:val="00313598"/>
    <w:rsid w:val="00342FC2"/>
    <w:rsid w:val="003D5F88"/>
    <w:rsid w:val="004630BA"/>
    <w:rsid w:val="00546FB9"/>
    <w:rsid w:val="005F1399"/>
    <w:rsid w:val="00605C6C"/>
    <w:rsid w:val="00672899"/>
    <w:rsid w:val="00676786"/>
    <w:rsid w:val="008C6A91"/>
    <w:rsid w:val="008E4502"/>
    <w:rsid w:val="00924170"/>
    <w:rsid w:val="00A246AF"/>
    <w:rsid w:val="00B10516"/>
    <w:rsid w:val="00B87C4F"/>
    <w:rsid w:val="00C0454D"/>
    <w:rsid w:val="00C51458"/>
    <w:rsid w:val="00C81C38"/>
    <w:rsid w:val="00DF4CC3"/>
    <w:rsid w:val="00E83487"/>
    <w:rsid w:val="00F6691F"/>
    <w:rsid w:val="00F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649A"/>
  <w15:chartTrackingRefBased/>
  <w15:docId w15:val="{BFD808EA-2C55-4B38-91BA-B75ADFAC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F. Blair</dc:creator>
  <cp:keywords/>
  <dc:description/>
  <cp:lastModifiedBy>Miner, Andrew, DFA</cp:lastModifiedBy>
  <cp:revision>13</cp:revision>
  <dcterms:created xsi:type="dcterms:W3CDTF">2016-10-14T15:20:00Z</dcterms:created>
  <dcterms:modified xsi:type="dcterms:W3CDTF">2021-10-04T15:04:00Z</dcterms:modified>
</cp:coreProperties>
</file>