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568A" w14:textId="4F983EBE" w:rsidR="009B7136" w:rsidRDefault="45C8CAC3" w:rsidP="6DDCABFF">
      <w:pPr>
        <w:ind w:left="4049"/>
        <w:jc w:val="center"/>
        <w:rPr>
          <w:rFonts w:ascii="Times New Roman"/>
          <w:sz w:val="20"/>
          <w:szCs w:val="20"/>
        </w:rPr>
      </w:pPr>
      <w:r>
        <w:rPr>
          <w:noProof/>
        </w:rPr>
        <w:drawing>
          <wp:anchor distT="0" distB="0" distL="114300" distR="114300" simplePos="0" relativeHeight="251658252" behindDoc="0" locked="0" layoutInCell="1" allowOverlap="1" wp14:anchorId="282B1D65" wp14:editId="4F5D0AAD">
            <wp:simplePos x="0" y="0"/>
            <wp:positionH relativeFrom="column">
              <wp:posOffset>2152650</wp:posOffset>
            </wp:positionH>
            <wp:positionV relativeFrom="paragraph">
              <wp:posOffset>0</wp:posOffset>
            </wp:positionV>
            <wp:extent cx="2028825" cy="1905000"/>
            <wp:effectExtent l="0" t="0" r="9525" b="0"/>
            <wp:wrapSquare wrapText="bothSides"/>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8825" cy="1905000"/>
                    </a:xfrm>
                    <a:prstGeom prst="rect">
                      <a:avLst/>
                    </a:prstGeom>
                  </pic:spPr>
                </pic:pic>
              </a:graphicData>
            </a:graphic>
            <wp14:sizeRelH relativeFrom="page">
              <wp14:pctWidth>0</wp14:pctWidth>
            </wp14:sizeRelH>
            <wp14:sizeRelV relativeFrom="page">
              <wp14:pctHeight>0</wp14:pctHeight>
            </wp14:sizeRelV>
          </wp:anchor>
        </w:drawing>
      </w:r>
      <w:r w:rsidR="00086C36">
        <w:rPr>
          <w:noProof/>
          <w:sz w:val="17"/>
        </w:rPr>
        <mc:AlternateContent>
          <mc:Choice Requires="wpg">
            <w:drawing>
              <wp:anchor distT="0" distB="0" distL="0" distR="0" simplePos="0" relativeHeight="251658240" behindDoc="1" locked="0" layoutInCell="1" allowOverlap="1" wp14:anchorId="410E686C" wp14:editId="525610B2">
                <wp:simplePos x="0" y="0"/>
                <wp:positionH relativeFrom="page">
                  <wp:align>left</wp:align>
                </wp:positionH>
                <wp:positionV relativeFrom="page">
                  <wp:align>top</wp:align>
                </wp:positionV>
                <wp:extent cx="7781925" cy="114300"/>
                <wp:effectExtent l="0" t="0" r="9525" b="19050"/>
                <wp:wrapNone/>
                <wp:docPr id="945637530" name="Group 945637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14300"/>
                          <a:chOff x="0" y="0"/>
                          <a:chExt cx="7781925" cy="114300"/>
                        </a:xfrm>
                      </wpg:grpSpPr>
                      <wps:wsp>
                        <wps:cNvPr id="376521953" name="Graphic 2"/>
                        <wps:cNvSpPr/>
                        <wps:spPr>
                          <a:xfrm>
                            <a:off x="4762" y="4762"/>
                            <a:ext cx="7772400" cy="104775"/>
                          </a:xfrm>
                          <a:custGeom>
                            <a:avLst/>
                            <a:gdLst/>
                            <a:ahLst/>
                            <a:cxnLst/>
                            <a:rect l="l" t="t" r="r" b="b"/>
                            <a:pathLst>
                              <a:path w="7772400" h="104775">
                                <a:moveTo>
                                  <a:pt x="7772400" y="0"/>
                                </a:moveTo>
                                <a:lnTo>
                                  <a:pt x="0" y="0"/>
                                </a:lnTo>
                                <a:lnTo>
                                  <a:pt x="0" y="104775"/>
                                </a:lnTo>
                                <a:lnTo>
                                  <a:pt x="7772400" y="104775"/>
                                </a:lnTo>
                                <a:lnTo>
                                  <a:pt x="7772400" y="0"/>
                                </a:lnTo>
                                <a:close/>
                              </a:path>
                            </a:pathLst>
                          </a:custGeom>
                          <a:solidFill>
                            <a:srgbClr val="DD6028"/>
                          </a:solidFill>
                        </wps:spPr>
                        <wps:bodyPr wrap="square" lIns="0" tIns="0" rIns="0" bIns="0" rtlCol="0">
                          <a:prstTxWarp prst="textNoShape">
                            <a:avLst/>
                          </a:prstTxWarp>
                          <a:noAutofit/>
                        </wps:bodyPr>
                      </wps:wsp>
                      <wps:wsp>
                        <wps:cNvPr id="1043008419" name="Graphic 3"/>
                        <wps:cNvSpPr/>
                        <wps:spPr>
                          <a:xfrm>
                            <a:off x="4762" y="4762"/>
                            <a:ext cx="7772400" cy="104775"/>
                          </a:xfrm>
                          <a:custGeom>
                            <a:avLst/>
                            <a:gdLst/>
                            <a:ahLst/>
                            <a:cxnLst/>
                            <a:rect l="l" t="t" r="r" b="b"/>
                            <a:pathLst>
                              <a:path w="7772400" h="104775">
                                <a:moveTo>
                                  <a:pt x="7772400" y="104775"/>
                                </a:moveTo>
                                <a:lnTo>
                                  <a:pt x="0" y="104775"/>
                                </a:lnTo>
                                <a:lnTo>
                                  <a:pt x="0" y="0"/>
                                </a:lnTo>
                                <a:lnTo>
                                  <a:pt x="7772400" y="0"/>
                                </a:lnTo>
                              </a:path>
                            </a:pathLst>
                          </a:custGeom>
                          <a:ln w="9525">
                            <a:solidFill>
                              <a:srgbClr val="042333"/>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945637530" style="position:absolute;margin-left:0;margin-top:0;width:612.75pt;height:9pt;z-index:-251658240;mso-wrap-distance-left:0;mso-wrap-distance-right:0;mso-position-horizontal:left;mso-position-horizontal-relative:page;mso-position-vertical:top;mso-position-vertical-relative:page" coordsize="77819,1143" o:spid="_x0000_s1026" w14:anchorId="0AF32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">
                <v:shape id="Graphic 2" style="position:absolute;left:47;top:47;width:77724;height:1048;visibility:visible;mso-wrap-style:square;v-text-anchor:top" coordsize="7772400,104775" o:spid="_x0000_s1027" fillcolor="#dd6028" stroked="f" path="m7772400,l,,,104775r7772400,l7772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">
                  <v:path arrowok="t"/>
                </v:shape>
                <v:shape id="Graphic 3" style="position:absolute;left:47;top:47;width:77724;height:1048;visibility:visible;mso-wrap-style:square;v-text-anchor:top" coordsize="7772400,104775" o:spid="_x0000_s1028" filled="f" strokecolor="#042333" path="m7772400,104775l,104775,,,7772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">
                  <v:path arrowok="t"/>
                </v:shape>
                <w10:wrap anchorx="page" anchory="page"/>
              </v:group>
            </w:pict>
          </mc:Fallback>
        </mc:AlternateContent>
      </w:r>
    </w:p>
    <w:p w14:paraId="4CD7CB71" w14:textId="77777777" w:rsidR="009B7136" w:rsidRDefault="009B7136" w:rsidP="364691E6">
      <w:pPr>
        <w:pStyle w:val="BodyText"/>
        <w:spacing w:before="199"/>
        <w:ind w:left="0" w:firstLine="0"/>
        <w:rPr>
          <w:rFonts w:ascii="Times New Roman"/>
          <w:sz w:val="32"/>
          <w:szCs w:val="32"/>
        </w:rPr>
      </w:pPr>
    </w:p>
    <w:p w14:paraId="3BBACC39" w14:textId="77777777" w:rsidR="007B6D52" w:rsidRDefault="007B6D52">
      <w:pPr>
        <w:pStyle w:val="BodyText"/>
        <w:spacing w:before="199"/>
        <w:ind w:left="0" w:firstLine="0"/>
        <w:rPr>
          <w:rFonts w:ascii="Times New Roman"/>
          <w:sz w:val="32"/>
        </w:rPr>
      </w:pPr>
    </w:p>
    <w:p w14:paraId="24AE9227" w14:textId="77777777" w:rsidR="007B6D52" w:rsidRDefault="007B6D52">
      <w:pPr>
        <w:pStyle w:val="BodyText"/>
        <w:spacing w:before="199"/>
        <w:ind w:left="0" w:firstLine="0"/>
        <w:rPr>
          <w:rFonts w:ascii="Times New Roman"/>
          <w:sz w:val="32"/>
        </w:rPr>
      </w:pPr>
    </w:p>
    <w:p w14:paraId="50A0899F" w14:textId="77777777" w:rsidR="007B6D52" w:rsidRDefault="007B6D52">
      <w:pPr>
        <w:pStyle w:val="BodyText"/>
        <w:spacing w:before="199"/>
        <w:ind w:left="0" w:firstLine="0"/>
        <w:rPr>
          <w:rFonts w:ascii="Times New Roman"/>
          <w:sz w:val="32"/>
        </w:rPr>
      </w:pPr>
    </w:p>
    <w:p w14:paraId="60F4E508" w14:textId="77777777" w:rsidR="00637B34" w:rsidRDefault="00637B34">
      <w:pPr>
        <w:pStyle w:val="BodyText"/>
        <w:spacing w:before="199"/>
        <w:ind w:left="0" w:firstLine="0"/>
        <w:rPr>
          <w:rFonts w:ascii="Times New Roman"/>
          <w:sz w:val="32"/>
        </w:rPr>
      </w:pPr>
    </w:p>
    <w:p w14:paraId="74410502" w14:textId="77777777" w:rsidR="007B6D52" w:rsidRDefault="007B6D52">
      <w:pPr>
        <w:pStyle w:val="BodyText"/>
        <w:spacing w:before="199"/>
        <w:ind w:left="0" w:firstLine="0"/>
        <w:rPr>
          <w:rFonts w:ascii="Times New Roman"/>
          <w:sz w:val="32"/>
        </w:rPr>
      </w:pPr>
    </w:p>
    <w:p w14:paraId="6C13794F" w14:textId="77777777" w:rsidR="007B6D52" w:rsidRDefault="007B6D52">
      <w:pPr>
        <w:pStyle w:val="BodyText"/>
        <w:spacing w:before="199"/>
        <w:ind w:left="0" w:firstLine="0"/>
        <w:rPr>
          <w:rFonts w:ascii="Times New Roman"/>
          <w:sz w:val="32"/>
        </w:rPr>
      </w:pPr>
    </w:p>
    <w:p w14:paraId="011273E9" w14:textId="77777777" w:rsidR="00B92963" w:rsidRPr="000F1BF6" w:rsidRDefault="00B92963" w:rsidP="0037723F">
      <w:pPr>
        <w:jc w:val="center"/>
        <w:rPr>
          <w:rFonts w:ascii="Times New Roman"/>
          <w:b/>
          <w:bCs/>
          <w:sz w:val="40"/>
          <w:szCs w:val="40"/>
          <w14:shadow w14:blurRad="50800" w14:dist="38100" w14:dir="2700000" w14:sx="100000" w14:sy="100000" w14:kx="0" w14:ky="0" w14:algn="tl">
            <w14:srgbClr w14:val="000000">
              <w14:alpha w14:val="60000"/>
            </w14:srgbClr>
          </w14:shadow>
        </w:rPr>
      </w:pPr>
      <w:r w:rsidRPr="000F1BF6">
        <w:rPr>
          <w:rFonts w:ascii="Times New Roman"/>
          <w:b/>
          <w:bCs/>
          <w:sz w:val="40"/>
          <w:szCs w:val="40"/>
          <w14:shadow w14:blurRad="50800" w14:dist="38100" w14:dir="2700000" w14:sx="100000" w14:sy="100000" w14:kx="0" w14:ky="0" w14:algn="tl">
            <w14:srgbClr w14:val="000000">
              <w14:alpha w14:val="60000"/>
            </w14:srgbClr>
          </w14:shadow>
        </w:rPr>
        <w:t>STATE OF NEW MEXICO</w:t>
      </w:r>
    </w:p>
    <w:p w14:paraId="4FB3CDC1" w14:textId="77777777" w:rsidR="00B92963" w:rsidRPr="00CB3656" w:rsidRDefault="00B92963" w:rsidP="0037723F">
      <w:pPr>
        <w:jc w:val="center"/>
        <w:rPr>
          <w:rFonts w:ascii="Times New Roman"/>
          <w:b/>
          <w:bCs/>
          <w:sz w:val="40"/>
          <w:szCs w:val="40"/>
          <w14:shadow w14:blurRad="50800" w14:dist="38100" w14:dir="2700000" w14:sx="100000" w14:sy="100000" w14:kx="0" w14:ky="0" w14:algn="tl">
            <w14:srgbClr w14:val="000000">
              <w14:alpha w14:val="60000"/>
            </w14:srgbClr>
          </w14:shadow>
        </w:rPr>
      </w:pPr>
      <w:r w:rsidRPr="000F1BF6">
        <w:rPr>
          <w:rFonts w:ascii="Times New Roman"/>
          <w:b/>
          <w:bCs/>
          <w:sz w:val="40"/>
          <w:szCs w:val="40"/>
          <w14:shadow w14:blurRad="50800" w14:dist="38100" w14:dir="2700000" w14:sx="100000" w14:sy="100000" w14:kx="0" w14:ky="0" w14:algn="tl">
            <w14:srgbClr w14:val="000000">
              <w14:alpha w14:val="60000"/>
            </w14:srgbClr>
          </w14:shadow>
        </w:rPr>
        <w:t>GRANTS MANAGEMENT GUIDE</w:t>
      </w:r>
    </w:p>
    <w:p w14:paraId="5422030B" w14:textId="77777777" w:rsidR="00CB3656" w:rsidRPr="000F1BF6" w:rsidRDefault="00CB3656" w:rsidP="00CB3656">
      <w:pPr>
        <w:spacing w:after="160" w:line="278" w:lineRule="auto"/>
        <w:jc w:val="center"/>
      </w:pPr>
      <w:r w:rsidRPr="000F1BF6">
        <w:rPr>
          <w:i/>
          <w:iCs/>
        </w:rPr>
        <w:t>(Pre-Award Through Post-Closeout)</w:t>
      </w:r>
    </w:p>
    <w:p w14:paraId="32A3EB23" w14:textId="77777777" w:rsidR="0037723F" w:rsidRPr="00CB3656" w:rsidRDefault="0037723F" w:rsidP="0037723F">
      <w:pPr>
        <w:jc w:val="center"/>
        <w:rPr>
          <w:rFonts w:ascii="Times New Roman"/>
          <w:b/>
          <w:bCs/>
          <w:sz w:val="24"/>
          <w:szCs w:val="24"/>
          <w14:shadow w14:blurRad="50800" w14:dist="38100" w14:dir="2700000" w14:sx="100000" w14:sy="100000" w14:kx="0" w14:ky="0" w14:algn="tl">
            <w14:srgbClr w14:val="000000">
              <w14:alpha w14:val="60000"/>
            </w14:srgbClr>
          </w14:shadow>
        </w:rPr>
      </w:pPr>
    </w:p>
    <w:p w14:paraId="68813172" w14:textId="77777777" w:rsidR="0037723F" w:rsidRPr="000F1BF6" w:rsidRDefault="0037723F" w:rsidP="0037723F">
      <w:pPr>
        <w:spacing w:after="160" w:line="278" w:lineRule="auto"/>
        <w:jc w:val="center"/>
        <w:rPr>
          <w:rFonts w:ascii="Times New Roman"/>
          <w:b/>
          <w:bCs/>
          <w:sz w:val="36"/>
          <w:szCs w:val="36"/>
        </w:rPr>
      </w:pPr>
      <w:r w:rsidRPr="000F1BF6">
        <w:rPr>
          <w:rFonts w:ascii="Times New Roman"/>
          <w:b/>
          <w:bCs/>
          <w:sz w:val="36"/>
          <w:szCs w:val="36"/>
        </w:rPr>
        <w:t>[AGENCY NAME]</w:t>
      </w:r>
    </w:p>
    <w:p w14:paraId="2FCA5B04" w14:textId="77777777" w:rsidR="00B92963" w:rsidRPr="007B6D52" w:rsidRDefault="00B92963" w:rsidP="007B6D52">
      <w:pPr>
        <w:pStyle w:val="BodyText"/>
        <w:spacing w:before="199"/>
        <w:jc w:val="center"/>
        <w:rPr>
          <w:rFonts w:ascii="Times New Roman"/>
          <w:b/>
          <w:bCs/>
          <w:sz w:val="36"/>
          <w:szCs w:val="36"/>
          <w14:shadow w14:blurRad="50800" w14:dist="38100" w14:dir="2700000" w14:sx="100000" w14:sy="100000" w14:kx="0" w14:ky="0" w14:algn="tl">
            <w14:srgbClr w14:val="000000">
              <w14:alpha w14:val="60000"/>
            </w14:srgbClr>
          </w14:shadow>
        </w:rPr>
      </w:pPr>
    </w:p>
    <w:p w14:paraId="2181DDBE" w14:textId="77777777" w:rsidR="007B6D52" w:rsidRDefault="007B6D52">
      <w:pPr>
        <w:pStyle w:val="BodyText"/>
        <w:spacing w:before="199"/>
        <w:ind w:left="0" w:firstLine="0"/>
        <w:rPr>
          <w:rFonts w:ascii="Times New Roman"/>
          <w:sz w:val="32"/>
        </w:rPr>
      </w:pPr>
    </w:p>
    <w:p w14:paraId="294C0F32" w14:textId="77777777" w:rsidR="007B6D52" w:rsidRDefault="007B6D52">
      <w:pPr>
        <w:pStyle w:val="BodyText"/>
        <w:spacing w:before="199"/>
        <w:ind w:left="0" w:firstLine="0"/>
        <w:rPr>
          <w:rFonts w:ascii="Times New Roman"/>
          <w:sz w:val="32"/>
        </w:rPr>
      </w:pPr>
    </w:p>
    <w:p w14:paraId="3B9F1349" w14:textId="77777777" w:rsidR="007B6D52" w:rsidRDefault="007B6D52">
      <w:pPr>
        <w:pStyle w:val="BodyText"/>
        <w:spacing w:before="199"/>
        <w:ind w:left="0" w:firstLine="0"/>
        <w:rPr>
          <w:rFonts w:ascii="Times New Roman"/>
          <w:sz w:val="32"/>
        </w:rPr>
      </w:pPr>
    </w:p>
    <w:p w14:paraId="67ED107F" w14:textId="77777777" w:rsidR="007B6D52" w:rsidRDefault="007B6D52">
      <w:pPr>
        <w:pStyle w:val="BodyText"/>
        <w:spacing w:before="199"/>
        <w:ind w:left="0" w:firstLine="0"/>
        <w:rPr>
          <w:rFonts w:ascii="Times New Roman"/>
          <w:sz w:val="32"/>
        </w:rPr>
      </w:pPr>
    </w:p>
    <w:p w14:paraId="44B33538" w14:textId="77777777" w:rsidR="007B6D52" w:rsidRDefault="007B6D52">
      <w:pPr>
        <w:pStyle w:val="BodyText"/>
        <w:spacing w:before="199"/>
        <w:ind w:left="0" w:firstLine="0"/>
        <w:rPr>
          <w:rFonts w:ascii="Times New Roman"/>
          <w:sz w:val="32"/>
        </w:rPr>
      </w:pPr>
    </w:p>
    <w:p w14:paraId="6087BA42" w14:textId="77777777" w:rsidR="007B6D52" w:rsidRDefault="007B6D52">
      <w:pPr>
        <w:pStyle w:val="BodyText"/>
        <w:spacing w:before="199"/>
        <w:ind w:left="0" w:firstLine="0"/>
        <w:rPr>
          <w:rFonts w:ascii="Times New Roman"/>
          <w:sz w:val="32"/>
        </w:rPr>
      </w:pPr>
    </w:p>
    <w:p w14:paraId="176E35F4" w14:textId="77777777" w:rsidR="007B6D52" w:rsidRDefault="007B6D52">
      <w:pPr>
        <w:pStyle w:val="BodyText"/>
        <w:spacing w:before="199"/>
        <w:ind w:left="0" w:firstLine="0"/>
        <w:rPr>
          <w:rFonts w:ascii="Times New Roman"/>
          <w:sz w:val="32"/>
        </w:rPr>
      </w:pPr>
    </w:p>
    <w:sdt>
      <w:sdtPr>
        <w:rPr>
          <w:rFonts w:asciiTheme="minorHAnsi" w:eastAsiaTheme="minorEastAsia" w:hAnsiTheme="minorHAnsi" w:cs="Times New Roman"/>
          <w:i w:val="0"/>
          <w:iCs w:val="0"/>
          <w:color w:val="auto"/>
          <w:sz w:val="22"/>
          <w:szCs w:val="22"/>
        </w:rPr>
        <w:id w:val="866096122"/>
        <w:docPartObj>
          <w:docPartGallery w:val="Table of Contents"/>
          <w:docPartUnique/>
        </w:docPartObj>
      </w:sdtPr>
      <w:sdtContent>
        <w:p w14:paraId="740DA58E" w14:textId="77777777" w:rsidR="00AE28D0" w:rsidRDefault="00AE28D0" w:rsidP="008259AE">
          <w:pPr>
            <w:pStyle w:val="TOCHeading"/>
            <w:rPr>
              <w:rFonts w:asciiTheme="minorHAnsi" w:eastAsiaTheme="minorEastAsia" w:hAnsiTheme="minorHAnsi" w:cs="Times New Roman"/>
              <w:i w:val="0"/>
              <w:iCs w:val="0"/>
              <w:color w:val="auto"/>
              <w:sz w:val="22"/>
              <w:szCs w:val="22"/>
            </w:rPr>
          </w:pPr>
        </w:p>
        <w:p w14:paraId="559A1E34" w14:textId="77777777" w:rsidR="00AE28D0" w:rsidRDefault="00AE28D0">
          <w:pPr>
            <w:rPr>
              <w:rFonts w:asciiTheme="minorHAnsi" w:eastAsiaTheme="minorEastAsia" w:hAnsiTheme="minorHAnsi" w:cs="Times New Roman"/>
            </w:rPr>
          </w:pPr>
          <w:r>
            <w:rPr>
              <w:rFonts w:asciiTheme="minorHAnsi" w:eastAsiaTheme="minorEastAsia" w:hAnsiTheme="minorHAnsi" w:cs="Times New Roman"/>
              <w:i/>
              <w:iCs/>
            </w:rPr>
            <w:br w:type="page"/>
          </w:r>
        </w:p>
        <w:p w14:paraId="33BB8263" w14:textId="4A951D84" w:rsidR="00637B34" w:rsidRPr="00294A1A" w:rsidRDefault="00637B34" w:rsidP="008259AE">
          <w:pPr>
            <w:pStyle w:val="TOCHeading"/>
          </w:pPr>
          <w:r w:rsidRPr="00294A1A">
            <w:lastRenderedPageBreak/>
            <w:t>Table of Contents</w:t>
          </w:r>
        </w:p>
        <w:p w14:paraId="749D9097" w14:textId="77777777" w:rsidR="00637B34" w:rsidRDefault="00637B34">
          <w:pPr>
            <w:pStyle w:val="TOC2"/>
            <w:tabs>
              <w:tab w:val="right" w:leader="dot" w:pos="10430"/>
            </w:tabs>
          </w:pPr>
        </w:p>
        <w:p w14:paraId="6C4CAAED" w14:textId="2A285AC7" w:rsidR="00AC7C2F" w:rsidRDefault="00B07A45">
          <w:pPr>
            <w:pStyle w:val="TOC1"/>
            <w:tabs>
              <w:tab w:val="right" w:pos="10070"/>
            </w:tabs>
            <w:rPr>
              <w:rFonts w:cstheme="minorBidi"/>
              <w:noProof/>
              <w:kern w:val="2"/>
              <w:sz w:val="24"/>
              <w:szCs w:val="24"/>
              <w14:ligatures w14:val="standardContextual"/>
            </w:rPr>
          </w:pPr>
          <w:r>
            <w:fldChar w:fldCharType="begin"/>
          </w:r>
          <w:r w:rsidR="00637B34">
            <w:instrText>TOC \o "1-3" \z \u \h</w:instrText>
          </w:r>
          <w:r>
            <w:fldChar w:fldCharType="separate"/>
          </w:r>
          <w:hyperlink w:anchor="_Toc225934243" w:history="1">
            <w:r w:rsidR="00AC7C2F" w:rsidRPr="00BA7470">
              <w:rPr>
                <w:rStyle w:val="Hyperlink"/>
                <w:noProof/>
              </w:rPr>
              <w:t>PURPOSE</w:t>
            </w:r>
            <w:r w:rsidR="00AC7C2F">
              <w:rPr>
                <w:noProof/>
                <w:webHidden/>
              </w:rPr>
              <w:tab/>
            </w:r>
            <w:r w:rsidR="00AC7C2F">
              <w:rPr>
                <w:noProof/>
                <w:webHidden/>
              </w:rPr>
              <w:fldChar w:fldCharType="begin"/>
            </w:r>
            <w:r w:rsidR="00AC7C2F">
              <w:rPr>
                <w:noProof/>
                <w:webHidden/>
              </w:rPr>
              <w:instrText xml:space="preserve"> PAGEREF _Toc225934243 \h </w:instrText>
            </w:r>
            <w:r w:rsidR="00AC7C2F">
              <w:rPr>
                <w:noProof/>
                <w:webHidden/>
              </w:rPr>
            </w:r>
            <w:r w:rsidR="00AC7C2F">
              <w:rPr>
                <w:noProof/>
                <w:webHidden/>
              </w:rPr>
              <w:fldChar w:fldCharType="separate"/>
            </w:r>
            <w:r w:rsidR="00AC7C2F">
              <w:rPr>
                <w:noProof/>
                <w:webHidden/>
              </w:rPr>
              <w:t>1</w:t>
            </w:r>
            <w:r w:rsidR="00AC7C2F">
              <w:rPr>
                <w:noProof/>
                <w:webHidden/>
              </w:rPr>
              <w:fldChar w:fldCharType="end"/>
            </w:r>
          </w:hyperlink>
        </w:p>
        <w:p w14:paraId="5446257B" w14:textId="57AE61DF" w:rsidR="00AC7C2F" w:rsidRDefault="00AC7C2F">
          <w:pPr>
            <w:pStyle w:val="TOC1"/>
            <w:tabs>
              <w:tab w:val="right" w:pos="10070"/>
            </w:tabs>
            <w:rPr>
              <w:rFonts w:cstheme="minorBidi"/>
              <w:noProof/>
              <w:kern w:val="2"/>
              <w:sz w:val="24"/>
              <w:szCs w:val="24"/>
              <w14:ligatures w14:val="standardContextual"/>
            </w:rPr>
          </w:pPr>
          <w:hyperlink w:anchor="_Toc225934244" w:history="1">
            <w:r w:rsidRPr="00BA7470">
              <w:rPr>
                <w:rStyle w:val="Hyperlink"/>
                <w:noProof/>
              </w:rPr>
              <w:t>GOVERNANCE &amp; INTERNAL CONTROL FRAMEWORK</w:t>
            </w:r>
            <w:r>
              <w:rPr>
                <w:noProof/>
                <w:webHidden/>
              </w:rPr>
              <w:tab/>
            </w:r>
            <w:r>
              <w:rPr>
                <w:noProof/>
                <w:webHidden/>
              </w:rPr>
              <w:fldChar w:fldCharType="begin"/>
            </w:r>
            <w:r>
              <w:rPr>
                <w:noProof/>
                <w:webHidden/>
              </w:rPr>
              <w:instrText xml:space="preserve"> PAGEREF _Toc225934244 \h </w:instrText>
            </w:r>
            <w:r>
              <w:rPr>
                <w:noProof/>
                <w:webHidden/>
              </w:rPr>
            </w:r>
            <w:r>
              <w:rPr>
                <w:noProof/>
                <w:webHidden/>
              </w:rPr>
              <w:fldChar w:fldCharType="separate"/>
            </w:r>
            <w:r>
              <w:rPr>
                <w:noProof/>
                <w:webHidden/>
              </w:rPr>
              <w:t>1</w:t>
            </w:r>
            <w:r>
              <w:rPr>
                <w:noProof/>
                <w:webHidden/>
              </w:rPr>
              <w:fldChar w:fldCharType="end"/>
            </w:r>
          </w:hyperlink>
        </w:p>
        <w:p w14:paraId="2218C25E" w14:textId="4C876648" w:rsidR="00AC7C2F" w:rsidRDefault="00AC7C2F">
          <w:pPr>
            <w:pStyle w:val="TOC1"/>
            <w:tabs>
              <w:tab w:val="right" w:pos="10070"/>
            </w:tabs>
            <w:rPr>
              <w:rFonts w:cstheme="minorBidi"/>
              <w:noProof/>
              <w:kern w:val="2"/>
              <w:sz w:val="24"/>
              <w:szCs w:val="24"/>
              <w14:ligatures w14:val="standardContextual"/>
            </w:rPr>
          </w:pPr>
          <w:hyperlink w:anchor="_Toc225934245" w:history="1">
            <w:r w:rsidRPr="00BA7470">
              <w:rPr>
                <w:rStyle w:val="Hyperlink"/>
                <w:iCs/>
                <w:noProof/>
              </w:rPr>
              <w:t>GRANT LIFECYCLE FRAMEWORK</w:t>
            </w:r>
            <w:r>
              <w:rPr>
                <w:noProof/>
                <w:webHidden/>
              </w:rPr>
              <w:tab/>
            </w:r>
            <w:r>
              <w:rPr>
                <w:noProof/>
                <w:webHidden/>
              </w:rPr>
              <w:fldChar w:fldCharType="begin"/>
            </w:r>
            <w:r>
              <w:rPr>
                <w:noProof/>
                <w:webHidden/>
              </w:rPr>
              <w:instrText xml:space="preserve"> PAGEREF _Toc225934245 \h </w:instrText>
            </w:r>
            <w:r>
              <w:rPr>
                <w:noProof/>
                <w:webHidden/>
              </w:rPr>
            </w:r>
            <w:r>
              <w:rPr>
                <w:noProof/>
                <w:webHidden/>
              </w:rPr>
              <w:fldChar w:fldCharType="separate"/>
            </w:r>
            <w:r>
              <w:rPr>
                <w:noProof/>
                <w:webHidden/>
              </w:rPr>
              <w:t>2</w:t>
            </w:r>
            <w:r>
              <w:rPr>
                <w:noProof/>
                <w:webHidden/>
              </w:rPr>
              <w:fldChar w:fldCharType="end"/>
            </w:r>
          </w:hyperlink>
        </w:p>
        <w:p w14:paraId="2AE54C18" w14:textId="1D530165" w:rsidR="00AC7C2F" w:rsidRDefault="00AC7C2F">
          <w:pPr>
            <w:pStyle w:val="TOC1"/>
            <w:tabs>
              <w:tab w:val="right" w:pos="10070"/>
            </w:tabs>
            <w:rPr>
              <w:rFonts w:cstheme="minorBidi"/>
              <w:noProof/>
              <w:kern w:val="2"/>
              <w:sz w:val="24"/>
              <w:szCs w:val="24"/>
              <w14:ligatures w14:val="standardContextual"/>
            </w:rPr>
          </w:pPr>
          <w:hyperlink w:anchor="_Toc225934246" w:history="1">
            <w:r w:rsidRPr="00BA7470">
              <w:rPr>
                <w:rStyle w:val="Hyperlink"/>
                <w:noProof/>
              </w:rPr>
              <w:t>PRE-AWARD PLANNING</w:t>
            </w:r>
            <w:r>
              <w:rPr>
                <w:noProof/>
                <w:webHidden/>
              </w:rPr>
              <w:tab/>
            </w:r>
            <w:r>
              <w:rPr>
                <w:noProof/>
                <w:webHidden/>
              </w:rPr>
              <w:fldChar w:fldCharType="begin"/>
            </w:r>
            <w:r>
              <w:rPr>
                <w:noProof/>
                <w:webHidden/>
              </w:rPr>
              <w:instrText xml:space="preserve"> PAGEREF _Toc225934246 \h </w:instrText>
            </w:r>
            <w:r>
              <w:rPr>
                <w:noProof/>
                <w:webHidden/>
              </w:rPr>
            </w:r>
            <w:r>
              <w:rPr>
                <w:noProof/>
                <w:webHidden/>
              </w:rPr>
              <w:fldChar w:fldCharType="separate"/>
            </w:r>
            <w:r>
              <w:rPr>
                <w:noProof/>
                <w:webHidden/>
              </w:rPr>
              <w:t>2</w:t>
            </w:r>
            <w:r>
              <w:rPr>
                <w:noProof/>
                <w:webHidden/>
              </w:rPr>
              <w:fldChar w:fldCharType="end"/>
            </w:r>
          </w:hyperlink>
        </w:p>
        <w:p w14:paraId="39A4F42F" w14:textId="256C384F" w:rsidR="00AC7C2F" w:rsidRDefault="00AC7C2F">
          <w:pPr>
            <w:pStyle w:val="TOC2"/>
            <w:tabs>
              <w:tab w:val="right" w:pos="10070"/>
            </w:tabs>
            <w:rPr>
              <w:rFonts w:cstheme="minorBidi"/>
              <w:noProof/>
              <w:kern w:val="2"/>
              <w:sz w:val="24"/>
              <w:szCs w:val="24"/>
              <w14:ligatures w14:val="standardContextual"/>
            </w:rPr>
          </w:pPr>
          <w:hyperlink w:anchor="_Toc225934247" w:history="1">
            <w:r w:rsidRPr="00BA7470">
              <w:rPr>
                <w:rStyle w:val="Hyperlink"/>
                <w:noProof/>
              </w:rPr>
              <w:t>Identifying Funding Opportunities</w:t>
            </w:r>
            <w:r>
              <w:rPr>
                <w:noProof/>
                <w:webHidden/>
              </w:rPr>
              <w:tab/>
            </w:r>
            <w:r>
              <w:rPr>
                <w:noProof/>
                <w:webHidden/>
              </w:rPr>
              <w:fldChar w:fldCharType="begin"/>
            </w:r>
            <w:r>
              <w:rPr>
                <w:noProof/>
                <w:webHidden/>
              </w:rPr>
              <w:instrText xml:space="preserve"> PAGEREF _Toc225934247 \h </w:instrText>
            </w:r>
            <w:r>
              <w:rPr>
                <w:noProof/>
                <w:webHidden/>
              </w:rPr>
            </w:r>
            <w:r>
              <w:rPr>
                <w:noProof/>
                <w:webHidden/>
              </w:rPr>
              <w:fldChar w:fldCharType="separate"/>
            </w:r>
            <w:r>
              <w:rPr>
                <w:noProof/>
                <w:webHidden/>
              </w:rPr>
              <w:t>3</w:t>
            </w:r>
            <w:r>
              <w:rPr>
                <w:noProof/>
                <w:webHidden/>
              </w:rPr>
              <w:fldChar w:fldCharType="end"/>
            </w:r>
          </w:hyperlink>
        </w:p>
        <w:p w14:paraId="08388326" w14:textId="2BD5BFE4" w:rsidR="00AC7C2F" w:rsidRDefault="00AC7C2F">
          <w:pPr>
            <w:pStyle w:val="TOC2"/>
            <w:tabs>
              <w:tab w:val="right" w:pos="10070"/>
            </w:tabs>
            <w:rPr>
              <w:rFonts w:cstheme="minorBidi"/>
              <w:noProof/>
              <w:kern w:val="2"/>
              <w:sz w:val="24"/>
              <w:szCs w:val="24"/>
              <w14:ligatures w14:val="standardContextual"/>
            </w:rPr>
          </w:pPr>
          <w:hyperlink w:anchor="_Toc225934248" w:history="1">
            <w:r w:rsidRPr="00BA7470">
              <w:rPr>
                <w:rStyle w:val="Hyperlink"/>
                <w:noProof/>
              </w:rPr>
              <w:t>Types of federal funding</w:t>
            </w:r>
            <w:r>
              <w:rPr>
                <w:noProof/>
                <w:webHidden/>
              </w:rPr>
              <w:tab/>
            </w:r>
            <w:r>
              <w:rPr>
                <w:noProof/>
                <w:webHidden/>
              </w:rPr>
              <w:fldChar w:fldCharType="begin"/>
            </w:r>
            <w:r>
              <w:rPr>
                <w:noProof/>
                <w:webHidden/>
              </w:rPr>
              <w:instrText xml:space="preserve"> PAGEREF _Toc225934248 \h </w:instrText>
            </w:r>
            <w:r>
              <w:rPr>
                <w:noProof/>
                <w:webHidden/>
              </w:rPr>
            </w:r>
            <w:r>
              <w:rPr>
                <w:noProof/>
                <w:webHidden/>
              </w:rPr>
              <w:fldChar w:fldCharType="separate"/>
            </w:r>
            <w:r>
              <w:rPr>
                <w:noProof/>
                <w:webHidden/>
              </w:rPr>
              <w:t>3</w:t>
            </w:r>
            <w:r>
              <w:rPr>
                <w:noProof/>
                <w:webHidden/>
              </w:rPr>
              <w:fldChar w:fldCharType="end"/>
            </w:r>
          </w:hyperlink>
        </w:p>
        <w:p w14:paraId="7B0BF4A2" w14:textId="2B1131B0" w:rsidR="00AC7C2F" w:rsidRDefault="00AC7C2F">
          <w:pPr>
            <w:pStyle w:val="TOC2"/>
            <w:tabs>
              <w:tab w:val="right" w:pos="10070"/>
            </w:tabs>
            <w:rPr>
              <w:rFonts w:cstheme="minorBidi"/>
              <w:noProof/>
              <w:kern w:val="2"/>
              <w:sz w:val="24"/>
              <w:szCs w:val="24"/>
              <w14:ligatures w14:val="standardContextual"/>
            </w:rPr>
          </w:pPr>
          <w:hyperlink w:anchor="_Toc225934249" w:history="1">
            <w:r w:rsidRPr="00BA7470">
              <w:rPr>
                <w:rStyle w:val="Hyperlink"/>
                <w:noProof/>
              </w:rPr>
              <w:t>APPLICATION DEVELOPMENT</w:t>
            </w:r>
            <w:r>
              <w:rPr>
                <w:noProof/>
                <w:webHidden/>
              </w:rPr>
              <w:tab/>
            </w:r>
            <w:r>
              <w:rPr>
                <w:noProof/>
                <w:webHidden/>
              </w:rPr>
              <w:fldChar w:fldCharType="begin"/>
            </w:r>
            <w:r>
              <w:rPr>
                <w:noProof/>
                <w:webHidden/>
              </w:rPr>
              <w:instrText xml:space="preserve"> PAGEREF _Toc225934249 \h </w:instrText>
            </w:r>
            <w:r>
              <w:rPr>
                <w:noProof/>
                <w:webHidden/>
              </w:rPr>
            </w:r>
            <w:r>
              <w:rPr>
                <w:noProof/>
                <w:webHidden/>
              </w:rPr>
              <w:fldChar w:fldCharType="separate"/>
            </w:r>
            <w:r>
              <w:rPr>
                <w:noProof/>
                <w:webHidden/>
              </w:rPr>
              <w:t>5</w:t>
            </w:r>
            <w:r>
              <w:rPr>
                <w:noProof/>
                <w:webHidden/>
              </w:rPr>
              <w:fldChar w:fldCharType="end"/>
            </w:r>
          </w:hyperlink>
        </w:p>
        <w:p w14:paraId="14B4F506" w14:textId="5B1CB702" w:rsidR="00AC7C2F" w:rsidRDefault="00AC7C2F">
          <w:pPr>
            <w:pStyle w:val="TOC3"/>
            <w:tabs>
              <w:tab w:val="right" w:pos="10070"/>
            </w:tabs>
            <w:rPr>
              <w:rFonts w:cstheme="minorBidi"/>
              <w:noProof/>
              <w:kern w:val="2"/>
              <w:sz w:val="24"/>
              <w:szCs w:val="24"/>
              <w14:ligatures w14:val="standardContextual"/>
            </w:rPr>
          </w:pPr>
          <w:hyperlink w:anchor="_Toc225934250" w:history="1">
            <w:r w:rsidRPr="00BA7470">
              <w:rPr>
                <w:rStyle w:val="Hyperlink"/>
                <w:noProof/>
              </w:rPr>
              <w:t>Program Design</w:t>
            </w:r>
            <w:r>
              <w:rPr>
                <w:noProof/>
                <w:webHidden/>
              </w:rPr>
              <w:tab/>
            </w:r>
            <w:r>
              <w:rPr>
                <w:noProof/>
                <w:webHidden/>
              </w:rPr>
              <w:fldChar w:fldCharType="begin"/>
            </w:r>
            <w:r>
              <w:rPr>
                <w:noProof/>
                <w:webHidden/>
              </w:rPr>
              <w:instrText xml:space="preserve"> PAGEREF _Toc225934250 \h </w:instrText>
            </w:r>
            <w:r>
              <w:rPr>
                <w:noProof/>
                <w:webHidden/>
              </w:rPr>
            </w:r>
            <w:r>
              <w:rPr>
                <w:noProof/>
                <w:webHidden/>
              </w:rPr>
              <w:fldChar w:fldCharType="separate"/>
            </w:r>
            <w:r>
              <w:rPr>
                <w:noProof/>
                <w:webHidden/>
              </w:rPr>
              <w:t>5</w:t>
            </w:r>
            <w:r>
              <w:rPr>
                <w:noProof/>
                <w:webHidden/>
              </w:rPr>
              <w:fldChar w:fldCharType="end"/>
            </w:r>
          </w:hyperlink>
        </w:p>
        <w:p w14:paraId="7D28988E" w14:textId="29399D95" w:rsidR="00AC7C2F" w:rsidRDefault="00AC7C2F">
          <w:pPr>
            <w:pStyle w:val="TOC3"/>
            <w:tabs>
              <w:tab w:val="right" w:pos="10070"/>
            </w:tabs>
            <w:rPr>
              <w:rFonts w:cstheme="minorBidi"/>
              <w:noProof/>
              <w:kern w:val="2"/>
              <w:sz w:val="24"/>
              <w:szCs w:val="24"/>
              <w14:ligatures w14:val="standardContextual"/>
            </w:rPr>
          </w:pPr>
          <w:hyperlink w:anchor="_Toc225934251" w:history="1">
            <w:r w:rsidRPr="00BA7470">
              <w:rPr>
                <w:rStyle w:val="Hyperlink"/>
                <w:noProof/>
              </w:rPr>
              <w:t>Budget Development</w:t>
            </w:r>
            <w:r>
              <w:rPr>
                <w:noProof/>
                <w:webHidden/>
              </w:rPr>
              <w:tab/>
            </w:r>
            <w:r>
              <w:rPr>
                <w:noProof/>
                <w:webHidden/>
              </w:rPr>
              <w:fldChar w:fldCharType="begin"/>
            </w:r>
            <w:r>
              <w:rPr>
                <w:noProof/>
                <w:webHidden/>
              </w:rPr>
              <w:instrText xml:space="preserve"> PAGEREF _Toc225934251 \h </w:instrText>
            </w:r>
            <w:r>
              <w:rPr>
                <w:noProof/>
                <w:webHidden/>
              </w:rPr>
            </w:r>
            <w:r>
              <w:rPr>
                <w:noProof/>
                <w:webHidden/>
              </w:rPr>
              <w:fldChar w:fldCharType="separate"/>
            </w:r>
            <w:r>
              <w:rPr>
                <w:noProof/>
                <w:webHidden/>
              </w:rPr>
              <w:t>6</w:t>
            </w:r>
            <w:r>
              <w:rPr>
                <w:noProof/>
                <w:webHidden/>
              </w:rPr>
              <w:fldChar w:fldCharType="end"/>
            </w:r>
          </w:hyperlink>
        </w:p>
        <w:p w14:paraId="19717454" w14:textId="35490DC1" w:rsidR="00AC7C2F" w:rsidRDefault="00AC7C2F">
          <w:pPr>
            <w:pStyle w:val="TOC3"/>
            <w:tabs>
              <w:tab w:val="right" w:pos="10070"/>
            </w:tabs>
            <w:rPr>
              <w:rFonts w:cstheme="minorBidi"/>
              <w:noProof/>
              <w:kern w:val="2"/>
              <w:sz w:val="24"/>
              <w:szCs w:val="24"/>
              <w14:ligatures w14:val="standardContextual"/>
            </w:rPr>
          </w:pPr>
          <w:hyperlink w:anchor="_Toc225934252" w:history="1">
            <w:r w:rsidRPr="00BA7470">
              <w:rPr>
                <w:rStyle w:val="Hyperlink"/>
                <w:noProof/>
              </w:rPr>
              <w:t>Indirect Cost</w:t>
            </w:r>
            <w:r>
              <w:rPr>
                <w:noProof/>
                <w:webHidden/>
              </w:rPr>
              <w:tab/>
            </w:r>
            <w:r>
              <w:rPr>
                <w:noProof/>
                <w:webHidden/>
              </w:rPr>
              <w:fldChar w:fldCharType="begin"/>
            </w:r>
            <w:r>
              <w:rPr>
                <w:noProof/>
                <w:webHidden/>
              </w:rPr>
              <w:instrText xml:space="preserve"> PAGEREF _Toc225934252 \h </w:instrText>
            </w:r>
            <w:r>
              <w:rPr>
                <w:noProof/>
                <w:webHidden/>
              </w:rPr>
            </w:r>
            <w:r>
              <w:rPr>
                <w:noProof/>
                <w:webHidden/>
              </w:rPr>
              <w:fldChar w:fldCharType="separate"/>
            </w:r>
            <w:r>
              <w:rPr>
                <w:noProof/>
                <w:webHidden/>
              </w:rPr>
              <w:t>6</w:t>
            </w:r>
            <w:r>
              <w:rPr>
                <w:noProof/>
                <w:webHidden/>
              </w:rPr>
              <w:fldChar w:fldCharType="end"/>
            </w:r>
          </w:hyperlink>
        </w:p>
        <w:p w14:paraId="30886DFE" w14:textId="258D1CEF" w:rsidR="00AC7C2F" w:rsidRDefault="00AC7C2F">
          <w:pPr>
            <w:pStyle w:val="TOC2"/>
            <w:tabs>
              <w:tab w:val="right" w:pos="10070"/>
            </w:tabs>
            <w:rPr>
              <w:rFonts w:cstheme="minorBidi"/>
              <w:noProof/>
              <w:kern w:val="2"/>
              <w:sz w:val="24"/>
              <w:szCs w:val="24"/>
              <w14:ligatures w14:val="standardContextual"/>
            </w:rPr>
          </w:pPr>
          <w:hyperlink w:anchor="_Toc225934253" w:history="1">
            <w:r w:rsidRPr="00BA7470">
              <w:rPr>
                <w:rStyle w:val="Hyperlink"/>
                <w:noProof/>
              </w:rPr>
              <w:t>Intergovernmental Review/Single Point of Contact (SPOC) Requirement</w:t>
            </w:r>
            <w:r>
              <w:rPr>
                <w:noProof/>
                <w:webHidden/>
              </w:rPr>
              <w:tab/>
            </w:r>
            <w:r>
              <w:rPr>
                <w:noProof/>
                <w:webHidden/>
              </w:rPr>
              <w:fldChar w:fldCharType="begin"/>
            </w:r>
            <w:r>
              <w:rPr>
                <w:noProof/>
                <w:webHidden/>
              </w:rPr>
              <w:instrText xml:space="preserve"> PAGEREF _Toc225934253 \h </w:instrText>
            </w:r>
            <w:r>
              <w:rPr>
                <w:noProof/>
                <w:webHidden/>
              </w:rPr>
            </w:r>
            <w:r>
              <w:rPr>
                <w:noProof/>
                <w:webHidden/>
              </w:rPr>
              <w:fldChar w:fldCharType="separate"/>
            </w:r>
            <w:r>
              <w:rPr>
                <w:noProof/>
                <w:webHidden/>
              </w:rPr>
              <w:t>7</w:t>
            </w:r>
            <w:r>
              <w:rPr>
                <w:noProof/>
                <w:webHidden/>
              </w:rPr>
              <w:fldChar w:fldCharType="end"/>
            </w:r>
          </w:hyperlink>
        </w:p>
        <w:p w14:paraId="7CF07AF1" w14:textId="3FDAE836" w:rsidR="00AC7C2F" w:rsidRDefault="00AC7C2F">
          <w:pPr>
            <w:pStyle w:val="TOC1"/>
            <w:tabs>
              <w:tab w:val="right" w:pos="10070"/>
            </w:tabs>
            <w:rPr>
              <w:rFonts w:cstheme="minorBidi"/>
              <w:noProof/>
              <w:kern w:val="2"/>
              <w:sz w:val="24"/>
              <w:szCs w:val="24"/>
              <w14:ligatures w14:val="standardContextual"/>
            </w:rPr>
          </w:pPr>
          <w:hyperlink w:anchor="_Toc225934254" w:history="1">
            <w:r w:rsidRPr="00BA7470">
              <w:rPr>
                <w:rStyle w:val="Hyperlink"/>
                <w:noProof/>
              </w:rPr>
              <w:t>AWARD ACCEPTANCE &amp; SETUP</w:t>
            </w:r>
            <w:r>
              <w:rPr>
                <w:noProof/>
                <w:webHidden/>
              </w:rPr>
              <w:tab/>
            </w:r>
            <w:r>
              <w:rPr>
                <w:noProof/>
                <w:webHidden/>
              </w:rPr>
              <w:fldChar w:fldCharType="begin"/>
            </w:r>
            <w:r>
              <w:rPr>
                <w:noProof/>
                <w:webHidden/>
              </w:rPr>
              <w:instrText xml:space="preserve"> PAGEREF _Toc225934254 \h </w:instrText>
            </w:r>
            <w:r>
              <w:rPr>
                <w:noProof/>
                <w:webHidden/>
              </w:rPr>
            </w:r>
            <w:r>
              <w:rPr>
                <w:noProof/>
                <w:webHidden/>
              </w:rPr>
              <w:fldChar w:fldCharType="separate"/>
            </w:r>
            <w:r>
              <w:rPr>
                <w:noProof/>
                <w:webHidden/>
              </w:rPr>
              <w:t>7</w:t>
            </w:r>
            <w:r>
              <w:rPr>
                <w:noProof/>
                <w:webHidden/>
              </w:rPr>
              <w:fldChar w:fldCharType="end"/>
            </w:r>
          </w:hyperlink>
        </w:p>
        <w:p w14:paraId="30A96F4E" w14:textId="6318ACA9" w:rsidR="00AC7C2F" w:rsidRDefault="00AC7C2F">
          <w:pPr>
            <w:pStyle w:val="TOC2"/>
            <w:tabs>
              <w:tab w:val="right" w:pos="10070"/>
            </w:tabs>
            <w:rPr>
              <w:rFonts w:cstheme="minorBidi"/>
              <w:noProof/>
              <w:kern w:val="2"/>
              <w:sz w:val="24"/>
              <w:szCs w:val="24"/>
              <w14:ligatures w14:val="standardContextual"/>
            </w:rPr>
          </w:pPr>
          <w:hyperlink w:anchor="_Toc225934255" w:history="1">
            <w:r w:rsidRPr="00BA7470">
              <w:rPr>
                <w:rStyle w:val="Hyperlink"/>
                <w:noProof/>
              </w:rPr>
              <w:t>federal Application Denial</w:t>
            </w:r>
            <w:r>
              <w:rPr>
                <w:noProof/>
                <w:webHidden/>
              </w:rPr>
              <w:tab/>
            </w:r>
            <w:r>
              <w:rPr>
                <w:noProof/>
                <w:webHidden/>
              </w:rPr>
              <w:fldChar w:fldCharType="begin"/>
            </w:r>
            <w:r>
              <w:rPr>
                <w:noProof/>
                <w:webHidden/>
              </w:rPr>
              <w:instrText xml:space="preserve"> PAGEREF _Toc225934255 \h </w:instrText>
            </w:r>
            <w:r>
              <w:rPr>
                <w:noProof/>
                <w:webHidden/>
              </w:rPr>
            </w:r>
            <w:r>
              <w:rPr>
                <w:noProof/>
                <w:webHidden/>
              </w:rPr>
              <w:fldChar w:fldCharType="separate"/>
            </w:r>
            <w:r>
              <w:rPr>
                <w:noProof/>
                <w:webHidden/>
              </w:rPr>
              <w:t>8</w:t>
            </w:r>
            <w:r>
              <w:rPr>
                <w:noProof/>
                <w:webHidden/>
              </w:rPr>
              <w:fldChar w:fldCharType="end"/>
            </w:r>
          </w:hyperlink>
        </w:p>
        <w:p w14:paraId="6F1FD1A2" w14:textId="7EC054A7" w:rsidR="00AC7C2F" w:rsidRDefault="00AC7C2F">
          <w:pPr>
            <w:pStyle w:val="TOC2"/>
            <w:tabs>
              <w:tab w:val="right" w:pos="10070"/>
            </w:tabs>
            <w:rPr>
              <w:rFonts w:cstheme="minorBidi"/>
              <w:noProof/>
              <w:kern w:val="2"/>
              <w:sz w:val="24"/>
              <w:szCs w:val="24"/>
              <w14:ligatures w14:val="standardContextual"/>
            </w:rPr>
          </w:pPr>
          <w:hyperlink w:anchor="_Toc225934256" w:history="1">
            <w:r w:rsidRPr="00BA7470">
              <w:rPr>
                <w:rStyle w:val="Hyperlink"/>
                <w:noProof/>
              </w:rPr>
              <w:t>Award Financial Setup</w:t>
            </w:r>
            <w:r>
              <w:rPr>
                <w:noProof/>
                <w:webHidden/>
              </w:rPr>
              <w:tab/>
            </w:r>
            <w:r>
              <w:rPr>
                <w:noProof/>
                <w:webHidden/>
              </w:rPr>
              <w:fldChar w:fldCharType="begin"/>
            </w:r>
            <w:r>
              <w:rPr>
                <w:noProof/>
                <w:webHidden/>
              </w:rPr>
              <w:instrText xml:space="preserve"> PAGEREF _Toc225934256 \h </w:instrText>
            </w:r>
            <w:r>
              <w:rPr>
                <w:noProof/>
                <w:webHidden/>
              </w:rPr>
            </w:r>
            <w:r>
              <w:rPr>
                <w:noProof/>
                <w:webHidden/>
              </w:rPr>
              <w:fldChar w:fldCharType="separate"/>
            </w:r>
            <w:r>
              <w:rPr>
                <w:noProof/>
                <w:webHidden/>
              </w:rPr>
              <w:t>9</w:t>
            </w:r>
            <w:r>
              <w:rPr>
                <w:noProof/>
                <w:webHidden/>
              </w:rPr>
              <w:fldChar w:fldCharType="end"/>
            </w:r>
          </w:hyperlink>
        </w:p>
        <w:p w14:paraId="32BA2CF0" w14:textId="49647BBA" w:rsidR="00AC7C2F" w:rsidRDefault="00AC7C2F">
          <w:pPr>
            <w:pStyle w:val="TOC1"/>
            <w:tabs>
              <w:tab w:val="right" w:pos="10070"/>
            </w:tabs>
            <w:rPr>
              <w:rFonts w:cstheme="minorBidi"/>
              <w:noProof/>
              <w:kern w:val="2"/>
              <w:sz w:val="24"/>
              <w:szCs w:val="24"/>
              <w14:ligatures w14:val="standardContextual"/>
            </w:rPr>
          </w:pPr>
          <w:hyperlink w:anchor="_Toc225934257" w:history="1">
            <w:r w:rsidRPr="00BA7470">
              <w:rPr>
                <w:rStyle w:val="Hyperlink"/>
                <w:noProof/>
              </w:rPr>
              <w:t>POST AWARD ACTIVITIES</w:t>
            </w:r>
            <w:r>
              <w:rPr>
                <w:noProof/>
                <w:webHidden/>
              </w:rPr>
              <w:tab/>
            </w:r>
            <w:r>
              <w:rPr>
                <w:noProof/>
                <w:webHidden/>
              </w:rPr>
              <w:fldChar w:fldCharType="begin"/>
            </w:r>
            <w:r>
              <w:rPr>
                <w:noProof/>
                <w:webHidden/>
              </w:rPr>
              <w:instrText xml:space="preserve"> PAGEREF _Toc225934257 \h </w:instrText>
            </w:r>
            <w:r>
              <w:rPr>
                <w:noProof/>
                <w:webHidden/>
              </w:rPr>
            </w:r>
            <w:r>
              <w:rPr>
                <w:noProof/>
                <w:webHidden/>
              </w:rPr>
              <w:fldChar w:fldCharType="separate"/>
            </w:r>
            <w:r>
              <w:rPr>
                <w:noProof/>
                <w:webHidden/>
              </w:rPr>
              <w:t>9</w:t>
            </w:r>
            <w:r>
              <w:rPr>
                <w:noProof/>
                <w:webHidden/>
              </w:rPr>
              <w:fldChar w:fldCharType="end"/>
            </w:r>
          </w:hyperlink>
        </w:p>
        <w:p w14:paraId="2B5ABB0C" w14:textId="1967666E" w:rsidR="00AC7C2F" w:rsidRDefault="00AC7C2F">
          <w:pPr>
            <w:pStyle w:val="TOC2"/>
            <w:tabs>
              <w:tab w:val="right" w:pos="10070"/>
            </w:tabs>
            <w:rPr>
              <w:rFonts w:cstheme="minorBidi"/>
              <w:noProof/>
              <w:kern w:val="2"/>
              <w:sz w:val="24"/>
              <w:szCs w:val="24"/>
              <w14:ligatures w14:val="standardContextual"/>
            </w:rPr>
          </w:pPr>
          <w:hyperlink w:anchor="_Toc225934258" w:history="1">
            <w:r w:rsidRPr="00BA7470">
              <w:rPr>
                <w:rStyle w:val="Hyperlink"/>
                <w:noProof/>
              </w:rPr>
              <w:t>PROCUREMENT</w:t>
            </w:r>
            <w:r>
              <w:rPr>
                <w:noProof/>
                <w:webHidden/>
              </w:rPr>
              <w:tab/>
            </w:r>
            <w:r>
              <w:rPr>
                <w:noProof/>
                <w:webHidden/>
              </w:rPr>
              <w:fldChar w:fldCharType="begin"/>
            </w:r>
            <w:r>
              <w:rPr>
                <w:noProof/>
                <w:webHidden/>
              </w:rPr>
              <w:instrText xml:space="preserve"> PAGEREF _Toc225934258 \h </w:instrText>
            </w:r>
            <w:r>
              <w:rPr>
                <w:noProof/>
                <w:webHidden/>
              </w:rPr>
            </w:r>
            <w:r>
              <w:rPr>
                <w:noProof/>
                <w:webHidden/>
              </w:rPr>
              <w:fldChar w:fldCharType="separate"/>
            </w:r>
            <w:r>
              <w:rPr>
                <w:noProof/>
                <w:webHidden/>
              </w:rPr>
              <w:t>9</w:t>
            </w:r>
            <w:r>
              <w:rPr>
                <w:noProof/>
                <w:webHidden/>
              </w:rPr>
              <w:fldChar w:fldCharType="end"/>
            </w:r>
          </w:hyperlink>
        </w:p>
        <w:p w14:paraId="52C67641" w14:textId="2D5C95C8" w:rsidR="00AC7C2F" w:rsidRDefault="00AC7C2F">
          <w:pPr>
            <w:pStyle w:val="TOC2"/>
            <w:tabs>
              <w:tab w:val="right" w:pos="10070"/>
            </w:tabs>
            <w:rPr>
              <w:rFonts w:cstheme="minorBidi"/>
              <w:noProof/>
              <w:kern w:val="2"/>
              <w:sz w:val="24"/>
              <w:szCs w:val="24"/>
              <w14:ligatures w14:val="standardContextual"/>
            </w:rPr>
          </w:pPr>
          <w:hyperlink w:anchor="_Toc225934259" w:history="1">
            <w:r w:rsidRPr="00BA7470">
              <w:rPr>
                <w:rStyle w:val="Hyperlink"/>
                <w:noProof/>
              </w:rPr>
              <w:t>CONTRACT and subaward MANAGEMENT</w:t>
            </w:r>
            <w:r>
              <w:rPr>
                <w:noProof/>
                <w:webHidden/>
              </w:rPr>
              <w:tab/>
            </w:r>
            <w:r>
              <w:rPr>
                <w:noProof/>
                <w:webHidden/>
              </w:rPr>
              <w:fldChar w:fldCharType="begin"/>
            </w:r>
            <w:r>
              <w:rPr>
                <w:noProof/>
                <w:webHidden/>
              </w:rPr>
              <w:instrText xml:space="preserve"> PAGEREF _Toc225934259 \h </w:instrText>
            </w:r>
            <w:r>
              <w:rPr>
                <w:noProof/>
                <w:webHidden/>
              </w:rPr>
            </w:r>
            <w:r>
              <w:rPr>
                <w:noProof/>
                <w:webHidden/>
              </w:rPr>
              <w:fldChar w:fldCharType="separate"/>
            </w:r>
            <w:r>
              <w:rPr>
                <w:noProof/>
                <w:webHidden/>
              </w:rPr>
              <w:t>9</w:t>
            </w:r>
            <w:r>
              <w:rPr>
                <w:noProof/>
                <w:webHidden/>
              </w:rPr>
              <w:fldChar w:fldCharType="end"/>
            </w:r>
          </w:hyperlink>
        </w:p>
        <w:p w14:paraId="22B36C9D" w14:textId="75DFD413" w:rsidR="00AC7C2F" w:rsidRDefault="00AC7C2F">
          <w:pPr>
            <w:pStyle w:val="TOC2"/>
            <w:tabs>
              <w:tab w:val="right" w:pos="10070"/>
            </w:tabs>
            <w:rPr>
              <w:rFonts w:cstheme="minorBidi"/>
              <w:noProof/>
              <w:kern w:val="2"/>
              <w:sz w:val="24"/>
              <w:szCs w:val="24"/>
              <w14:ligatures w14:val="standardContextual"/>
            </w:rPr>
          </w:pPr>
          <w:hyperlink w:anchor="_Toc225934260" w:history="1">
            <w:r w:rsidRPr="00BA7470">
              <w:rPr>
                <w:rStyle w:val="Hyperlink"/>
                <w:noProof/>
              </w:rPr>
              <w:t>RISK EVALUATION</w:t>
            </w:r>
            <w:r>
              <w:rPr>
                <w:noProof/>
                <w:webHidden/>
              </w:rPr>
              <w:tab/>
            </w:r>
            <w:r>
              <w:rPr>
                <w:noProof/>
                <w:webHidden/>
              </w:rPr>
              <w:fldChar w:fldCharType="begin"/>
            </w:r>
            <w:r>
              <w:rPr>
                <w:noProof/>
                <w:webHidden/>
              </w:rPr>
              <w:instrText xml:space="preserve"> PAGEREF _Toc225934260 \h </w:instrText>
            </w:r>
            <w:r>
              <w:rPr>
                <w:noProof/>
                <w:webHidden/>
              </w:rPr>
            </w:r>
            <w:r>
              <w:rPr>
                <w:noProof/>
                <w:webHidden/>
              </w:rPr>
              <w:fldChar w:fldCharType="separate"/>
            </w:r>
            <w:r>
              <w:rPr>
                <w:noProof/>
                <w:webHidden/>
              </w:rPr>
              <w:t>10</w:t>
            </w:r>
            <w:r>
              <w:rPr>
                <w:noProof/>
                <w:webHidden/>
              </w:rPr>
              <w:fldChar w:fldCharType="end"/>
            </w:r>
          </w:hyperlink>
        </w:p>
        <w:p w14:paraId="585A8412" w14:textId="424186DE" w:rsidR="00AC7C2F" w:rsidRDefault="00AC7C2F">
          <w:pPr>
            <w:pStyle w:val="TOC2"/>
            <w:tabs>
              <w:tab w:val="right" w:pos="10070"/>
            </w:tabs>
            <w:rPr>
              <w:rFonts w:cstheme="minorBidi"/>
              <w:noProof/>
              <w:kern w:val="2"/>
              <w:sz w:val="24"/>
              <w:szCs w:val="24"/>
              <w14:ligatures w14:val="standardContextual"/>
            </w:rPr>
          </w:pPr>
          <w:hyperlink w:anchor="_Toc225934261" w:history="1">
            <w:r w:rsidRPr="00BA7470">
              <w:rPr>
                <w:rStyle w:val="Hyperlink"/>
                <w:noProof/>
              </w:rPr>
              <w:t>PROGRAM AND FINANCIAL MANAGEMENT</w:t>
            </w:r>
            <w:r>
              <w:rPr>
                <w:noProof/>
                <w:webHidden/>
              </w:rPr>
              <w:tab/>
            </w:r>
            <w:r>
              <w:rPr>
                <w:noProof/>
                <w:webHidden/>
              </w:rPr>
              <w:fldChar w:fldCharType="begin"/>
            </w:r>
            <w:r>
              <w:rPr>
                <w:noProof/>
                <w:webHidden/>
              </w:rPr>
              <w:instrText xml:space="preserve"> PAGEREF _Toc225934261 \h </w:instrText>
            </w:r>
            <w:r>
              <w:rPr>
                <w:noProof/>
                <w:webHidden/>
              </w:rPr>
            </w:r>
            <w:r>
              <w:rPr>
                <w:noProof/>
                <w:webHidden/>
              </w:rPr>
              <w:fldChar w:fldCharType="separate"/>
            </w:r>
            <w:r>
              <w:rPr>
                <w:noProof/>
                <w:webHidden/>
              </w:rPr>
              <w:t>10</w:t>
            </w:r>
            <w:r>
              <w:rPr>
                <w:noProof/>
                <w:webHidden/>
              </w:rPr>
              <w:fldChar w:fldCharType="end"/>
            </w:r>
          </w:hyperlink>
        </w:p>
        <w:p w14:paraId="238999DB" w14:textId="347DB485" w:rsidR="00AC7C2F" w:rsidRDefault="00AC7C2F">
          <w:pPr>
            <w:pStyle w:val="TOC3"/>
            <w:tabs>
              <w:tab w:val="right" w:pos="10070"/>
            </w:tabs>
            <w:rPr>
              <w:rFonts w:cstheme="minorBidi"/>
              <w:noProof/>
              <w:kern w:val="2"/>
              <w:sz w:val="24"/>
              <w:szCs w:val="24"/>
              <w14:ligatures w14:val="standardContextual"/>
            </w:rPr>
          </w:pPr>
          <w:hyperlink w:anchor="_Toc225934262" w:history="1">
            <w:r w:rsidRPr="00BA7470">
              <w:rPr>
                <w:rStyle w:val="Hyperlink"/>
                <w:noProof/>
              </w:rPr>
              <w:t>Financial Management</w:t>
            </w:r>
            <w:r>
              <w:rPr>
                <w:noProof/>
                <w:webHidden/>
              </w:rPr>
              <w:tab/>
            </w:r>
            <w:r>
              <w:rPr>
                <w:noProof/>
                <w:webHidden/>
              </w:rPr>
              <w:fldChar w:fldCharType="begin"/>
            </w:r>
            <w:r>
              <w:rPr>
                <w:noProof/>
                <w:webHidden/>
              </w:rPr>
              <w:instrText xml:space="preserve"> PAGEREF _Toc225934262 \h </w:instrText>
            </w:r>
            <w:r>
              <w:rPr>
                <w:noProof/>
                <w:webHidden/>
              </w:rPr>
            </w:r>
            <w:r>
              <w:rPr>
                <w:noProof/>
                <w:webHidden/>
              </w:rPr>
              <w:fldChar w:fldCharType="separate"/>
            </w:r>
            <w:r>
              <w:rPr>
                <w:noProof/>
                <w:webHidden/>
              </w:rPr>
              <w:t>11</w:t>
            </w:r>
            <w:r>
              <w:rPr>
                <w:noProof/>
                <w:webHidden/>
              </w:rPr>
              <w:fldChar w:fldCharType="end"/>
            </w:r>
          </w:hyperlink>
        </w:p>
        <w:p w14:paraId="70E02EF0" w14:textId="23BAB249" w:rsidR="00AC7C2F" w:rsidRDefault="00AC7C2F">
          <w:pPr>
            <w:pStyle w:val="TOC3"/>
            <w:tabs>
              <w:tab w:val="right" w:pos="10070"/>
            </w:tabs>
            <w:rPr>
              <w:rFonts w:cstheme="minorBidi"/>
              <w:noProof/>
              <w:kern w:val="2"/>
              <w:sz w:val="24"/>
              <w:szCs w:val="24"/>
              <w14:ligatures w14:val="standardContextual"/>
            </w:rPr>
          </w:pPr>
          <w:hyperlink w:anchor="_Toc225934263" w:history="1">
            <w:r w:rsidRPr="00BA7470">
              <w:rPr>
                <w:rStyle w:val="Hyperlink"/>
                <w:noProof/>
              </w:rPr>
              <w:t>Program Management</w:t>
            </w:r>
            <w:r>
              <w:rPr>
                <w:noProof/>
                <w:webHidden/>
              </w:rPr>
              <w:tab/>
            </w:r>
            <w:r>
              <w:rPr>
                <w:noProof/>
                <w:webHidden/>
              </w:rPr>
              <w:fldChar w:fldCharType="begin"/>
            </w:r>
            <w:r>
              <w:rPr>
                <w:noProof/>
                <w:webHidden/>
              </w:rPr>
              <w:instrText xml:space="preserve"> PAGEREF _Toc225934263 \h </w:instrText>
            </w:r>
            <w:r>
              <w:rPr>
                <w:noProof/>
                <w:webHidden/>
              </w:rPr>
            </w:r>
            <w:r>
              <w:rPr>
                <w:noProof/>
                <w:webHidden/>
              </w:rPr>
              <w:fldChar w:fldCharType="separate"/>
            </w:r>
            <w:r>
              <w:rPr>
                <w:noProof/>
                <w:webHidden/>
              </w:rPr>
              <w:t>11</w:t>
            </w:r>
            <w:r>
              <w:rPr>
                <w:noProof/>
                <w:webHidden/>
              </w:rPr>
              <w:fldChar w:fldCharType="end"/>
            </w:r>
          </w:hyperlink>
        </w:p>
        <w:p w14:paraId="637598DC" w14:textId="26319EDA" w:rsidR="00AC7C2F" w:rsidRDefault="00AC7C2F">
          <w:pPr>
            <w:pStyle w:val="TOC3"/>
            <w:tabs>
              <w:tab w:val="right" w:pos="10070"/>
            </w:tabs>
            <w:rPr>
              <w:rFonts w:cstheme="minorBidi"/>
              <w:noProof/>
              <w:kern w:val="2"/>
              <w:sz w:val="24"/>
              <w:szCs w:val="24"/>
              <w14:ligatures w14:val="standardContextual"/>
            </w:rPr>
          </w:pPr>
          <w:hyperlink w:anchor="_Toc225934264" w:history="1">
            <w:r w:rsidRPr="00BA7470">
              <w:rPr>
                <w:rStyle w:val="Hyperlink"/>
                <w:noProof/>
              </w:rPr>
              <w:t>Subrecipient and contractor monitoring</w:t>
            </w:r>
            <w:r>
              <w:rPr>
                <w:noProof/>
                <w:webHidden/>
              </w:rPr>
              <w:tab/>
            </w:r>
            <w:r>
              <w:rPr>
                <w:noProof/>
                <w:webHidden/>
              </w:rPr>
              <w:fldChar w:fldCharType="begin"/>
            </w:r>
            <w:r>
              <w:rPr>
                <w:noProof/>
                <w:webHidden/>
              </w:rPr>
              <w:instrText xml:space="preserve"> PAGEREF _Toc225934264 \h </w:instrText>
            </w:r>
            <w:r>
              <w:rPr>
                <w:noProof/>
                <w:webHidden/>
              </w:rPr>
            </w:r>
            <w:r>
              <w:rPr>
                <w:noProof/>
                <w:webHidden/>
              </w:rPr>
              <w:fldChar w:fldCharType="separate"/>
            </w:r>
            <w:r>
              <w:rPr>
                <w:noProof/>
                <w:webHidden/>
              </w:rPr>
              <w:t>12</w:t>
            </w:r>
            <w:r>
              <w:rPr>
                <w:noProof/>
                <w:webHidden/>
              </w:rPr>
              <w:fldChar w:fldCharType="end"/>
            </w:r>
          </w:hyperlink>
        </w:p>
        <w:p w14:paraId="31760A83" w14:textId="3CA2ED6F" w:rsidR="00AC7C2F" w:rsidRDefault="00AC7C2F">
          <w:pPr>
            <w:pStyle w:val="TOC1"/>
            <w:tabs>
              <w:tab w:val="right" w:pos="10070"/>
            </w:tabs>
            <w:rPr>
              <w:rFonts w:cstheme="minorBidi"/>
              <w:noProof/>
              <w:kern w:val="2"/>
              <w:sz w:val="24"/>
              <w:szCs w:val="24"/>
              <w14:ligatures w14:val="standardContextual"/>
            </w:rPr>
          </w:pPr>
          <w:hyperlink w:anchor="_Toc225934265" w:history="1">
            <w:r w:rsidRPr="00BA7470">
              <w:rPr>
                <w:rStyle w:val="Hyperlink"/>
                <w:noProof/>
              </w:rPr>
              <w:t>REPORTING</w:t>
            </w:r>
            <w:r>
              <w:rPr>
                <w:noProof/>
                <w:webHidden/>
              </w:rPr>
              <w:tab/>
            </w:r>
            <w:r>
              <w:rPr>
                <w:noProof/>
                <w:webHidden/>
              </w:rPr>
              <w:fldChar w:fldCharType="begin"/>
            </w:r>
            <w:r>
              <w:rPr>
                <w:noProof/>
                <w:webHidden/>
              </w:rPr>
              <w:instrText xml:space="preserve"> PAGEREF _Toc225934265 \h </w:instrText>
            </w:r>
            <w:r>
              <w:rPr>
                <w:noProof/>
                <w:webHidden/>
              </w:rPr>
            </w:r>
            <w:r>
              <w:rPr>
                <w:noProof/>
                <w:webHidden/>
              </w:rPr>
              <w:fldChar w:fldCharType="separate"/>
            </w:r>
            <w:r>
              <w:rPr>
                <w:noProof/>
                <w:webHidden/>
              </w:rPr>
              <w:t>12</w:t>
            </w:r>
            <w:r>
              <w:rPr>
                <w:noProof/>
                <w:webHidden/>
              </w:rPr>
              <w:fldChar w:fldCharType="end"/>
            </w:r>
          </w:hyperlink>
        </w:p>
        <w:p w14:paraId="187E0E39" w14:textId="0C72654E" w:rsidR="00AC7C2F" w:rsidRDefault="00AC7C2F">
          <w:pPr>
            <w:pStyle w:val="TOC1"/>
            <w:tabs>
              <w:tab w:val="right" w:pos="10070"/>
            </w:tabs>
            <w:rPr>
              <w:rFonts w:cstheme="minorBidi"/>
              <w:noProof/>
              <w:kern w:val="2"/>
              <w:sz w:val="24"/>
              <w:szCs w:val="24"/>
              <w14:ligatures w14:val="standardContextual"/>
            </w:rPr>
          </w:pPr>
          <w:hyperlink w:anchor="_Toc225934266" w:history="1">
            <w:r w:rsidRPr="00BA7470">
              <w:rPr>
                <w:rStyle w:val="Hyperlink"/>
                <w:noProof/>
              </w:rPr>
              <w:t>GRANT MODIFICATIONS</w:t>
            </w:r>
            <w:r>
              <w:rPr>
                <w:noProof/>
                <w:webHidden/>
              </w:rPr>
              <w:tab/>
            </w:r>
            <w:r>
              <w:rPr>
                <w:noProof/>
                <w:webHidden/>
              </w:rPr>
              <w:fldChar w:fldCharType="begin"/>
            </w:r>
            <w:r>
              <w:rPr>
                <w:noProof/>
                <w:webHidden/>
              </w:rPr>
              <w:instrText xml:space="preserve"> PAGEREF _Toc225934266 \h </w:instrText>
            </w:r>
            <w:r>
              <w:rPr>
                <w:noProof/>
                <w:webHidden/>
              </w:rPr>
            </w:r>
            <w:r>
              <w:rPr>
                <w:noProof/>
                <w:webHidden/>
              </w:rPr>
              <w:fldChar w:fldCharType="separate"/>
            </w:r>
            <w:r>
              <w:rPr>
                <w:noProof/>
                <w:webHidden/>
              </w:rPr>
              <w:t>13</w:t>
            </w:r>
            <w:r>
              <w:rPr>
                <w:noProof/>
                <w:webHidden/>
              </w:rPr>
              <w:fldChar w:fldCharType="end"/>
            </w:r>
          </w:hyperlink>
        </w:p>
        <w:p w14:paraId="36F450E3" w14:textId="27C019DD" w:rsidR="00AC7C2F" w:rsidRDefault="00AC7C2F">
          <w:pPr>
            <w:pStyle w:val="TOC1"/>
            <w:tabs>
              <w:tab w:val="right" w:pos="10070"/>
            </w:tabs>
            <w:rPr>
              <w:rFonts w:cstheme="minorBidi"/>
              <w:noProof/>
              <w:kern w:val="2"/>
              <w:sz w:val="24"/>
              <w:szCs w:val="24"/>
              <w14:ligatures w14:val="standardContextual"/>
            </w:rPr>
          </w:pPr>
          <w:hyperlink w:anchor="_Toc225934267" w:history="1">
            <w:r w:rsidRPr="00BA7470">
              <w:rPr>
                <w:rStyle w:val="Hyperlink"/>
                <w:noProof/>
              </w:rPr>
              <w:t>AUDIT &amp; COMPLIANCE</w:t>
            </w:r>
            <w:r>
              <w:rPr>
                <w:noProof/>
                <w:webHidden/>
              </w:rPr>
              <w:tab/>
            </w:r>
            <w:r>
              <w:rPr>
                <w:noProof/>
                <w:webHidden/>
              </w:rPr>
              <w:fldChar w:fldCharType="begin"/>
            </w:r>
            <w:r>
              <w:rPr>
                <w:noProof/>
                <w:webHidden/>
              </w:rPr>
              <w:instrText xml:space="preserve"> PAGEREF _Toc225934267 \h </w:instrText>
            </w:r>
            <w:r>
              <w:rPr>
                <w:noProof/>
                <w:webHidden/>
              </w:rPr>
            </w:r>
            <w:r>
              <w:rPr>
                <w:noProof/>
                <w:webHidden/>
              </w:rPr>
              <w:fldChar w:fldCharType="separate"/>
            </w:r>
            <w:r>
              <w:rPr>
                <w:noProof/>
                <w:webHidden/>
              </w:rPr>
              <w:t>13</w:t>
            </w:r>
            <w:r>
              <w:rPr>
                <w:noProof/>
                <w:webHidden/>
              </w:rPr>
              <w:fldChar w:fldCharType="end"/>
            </w:r>
          </w:hyperlink>
        </w:p>
        <w:p w14:paraId="55CFE66F" w14:textId="7C16FF38" w:rsidR="00AC7C2F" w:rsidRDefault="00AC7C2F">
          <w:pPr>
            <w:pStyle w:val="TOC1"/>
            <w:tabs>
              <w:tab w:val="right" w:pos="10070"/>
            </w:tabs>
            <w:rPr>
              <w:rFonts w:cstheme="minorBidi"/>
              <w:noProof/>
              <w:kern w:val="2"/>
              <w:sz w:val="24"/>
              <w:szCs w:val="24"/>
              <w14:ligatures w14:val="standardContextual"/>
            </w:rPr>
          </w:pPr>
          <w:hyperlink w:anchor="_Toc225934268" w:history="1">
            <w:r w:rsidRPr="00BA7470">
              <w:rPr>
                <w:rStyle w:val="Hyperlink"/>
                <w:noProof/>
              </w:rPr>
              <w:t>CLOSEOUT</w:t>
            </w:r>
            <w:r>
              <w:rPr>
                <w:noProof/>
                <w:webHidden/>
              </w:rPr>
              <w:tab/>
            </w:r>
            <w:r>
              <w:rPr>
                <w:noProof/>
                <w:webHidden/>
              </w:rPr>
              <w:fldChar w:fldCharType="begin"/>
            </w:r>
            <w:r>
              <w:rPr>
                <w:noProof/>
                <w:webHidden/>
              </w:rPr>
              <w:instrText xml:space="preserve"> PAGEREF _Toc225934268 \h </w:instrText>
            </w:r>
            <w:r>
              <w:rPr>
                <w:noProof/>
                <w:webHidden/>
              </w:rPr>
            </w:r>
            <w:r>
              <w:rPr>
                <w:noProof/>
                <w:webHidden/>
              </w:rPr>
              <w:fldChar w:fldCharType="separate"/>
            </w:r>
            <w:r>
              <w:rPr>
                <w:noProof/>
                <w:webHidden/>
              </w:rPr>
              <w:t>14</w:t>
            </w:r>
            <w:r>
              <w:rPr>
                <w:noProof/>
                <w:webHidden/>
              </w:rPr>
              <w:fldChar w:fldCharType="end"/>
            </w:r>
          </w:hyperlink>
        </w:p>
        <w:p w14:paraId="23C82597" w14:textId="449DDF3C" w:rsidR="00AC7C2F" w:rsidRDefault="00AC7C2F">
          <w:pPr>
            <w:pStyle w:val="TOC1"/>
            <w:tabs>
              <w:tab w:val="right" w:pos="10070"/>
            </w:tabs>
            <w:rPr>
              <w:rFonts w:cstheme="minorBidi"/>
              <w:noProof/>
              <w:kern w:val="2"/>
              <w:sz w:val="24"/>
              <w:szCs w:val="24"/>
              <w14:ligatures w14:val="standardContextual"/>
            </w:rPr>
          </w:pPr>
          <w:hyperlink w:anchor="_Toc225934269" w:history="1">
            <w:r w:rsidRPr="00BA7470">
              <w:rPr>
                <w:rStyle w:val="Hyperlink"/>
                <w:noProof/>
              </w:rPr>
              <w:t>XV. RECORDS RETENTION</w:t>
            </w:r>
            <w:r>
              <w:rPr>
                <w:noProof/>
                <w:webHidden/>
              </w:rPr>
              <w:tab/>
            </w:r>
            <w:r>
              <w:rPr>
                <w:noProof/>
                <w:webHidden/>
              </w:rPr>
              <w:fldChar w:fldCharType="begin"/>
            </w:r>
            <w:r>
              <w:rPr>
                <w:noProof/>
                <w:webHidden/>
              </w:rPr>
              <w:instrText xml:space="preserve"> PAGEREF _Toc225934269 \h </w:instrText>
            </w:r>
            <w:r>
              <w:rPr>
                <w:noProof/>
                <w:webHidden/>
              </w:rPr>
            </w:r>
            <w:r>
              <w:rPr>
                <w:noProof/>
                <w:webHidden/>
              </w:rPr>
              <w:fldChar w:fldCharType="separate"/>
            </w:r>
            <w:r>
              <w:rPr>
                <w:noProof/>
                <w:webHidden/>
              </w:rPr>
              <w:t>14</w:t>
            </w:r>
            <w:r>
              <w:rPr>
                <w:noProof/>
                <w:webHidden/>
              </w:rPr>
              <w:fldChar w:fldCharType="end"/>
            </w:r>
          </w:hyperlink>
        </w:p>
        <w:p w14:paraId="5056CF99" w14:textId="7E649315" w:rsidR="00AC7C2F" w:rsidRDefault="00AC7C2F">
          <w:pPr>
            <w:pStyle w:val="TOC1"/>
            <w:tabs>
              <w:tab w:val="right" w:pos="10070"/>
            </w:tabs>
            <w:rPr>
              <w:rFonts w:cstheme="minorBidi"/>
              <w:noProof/>
              <w:kern w:val="2"/>
              <w:sz w:val="24"/>
              <w:szCs w:val="24"/>
              <w14:ligatures w14:val="standardContextual"/>
            </w:rPr>
          </w:pPr>
          <w:hyperlink w:anchor="_Toc225934270" w:history="1">
            <w:r w:rsidRPr="00BA7470">
              <w:rPr>
                <w:rStyle w:val="Hyperlink"/>
                <w:noProof/>
              </w:rPr>
              <w:t>XVI. CONTINUOUS IMPROVEMENT</w:t>
            </w:r>
            <w:r>
              <w:rPr>
                <w:noProof/>
                <w:webHidden/>
              </w:rPr>
              <w:tab/>
            </w:r>
            <w:r>
              <w:rPr>
                <w:noProof/>
                <w:webHidden/>
              </w:rPr>
              <w:fldChar w:fldCharType="begin"/>
            </w:r>
            <w:r>
              <w:rPr>
                <w:noProof/>
                <w:webHidden/>
              </w:rPr>
              <w:instrText xml:space="preserve"> PAGEREF _Toc225934270 \h </w:instrText>
            </w:r>
            <w:r>
              <w:rPr>
                <w:noProof/>
                <w:webHidden/>
              </w:rPr>
            </w:r>
            <w:r>
              <w:rPr>
                <w:noProof/>
                <w:webHidden/>
              </w:rPr>
              <w:fldChar w:fldCharType="separate"/>
            </w:r>
            <w:r>
              <w:rPr>
                <w:noProof/>
                <w:webHidden/>
              </w:rPr>
              <w:t>15</w:t>
            </w:r>
            <w:r>
              <w:rPr>
                <w:noProof/>
                <w:webHidden/>
              </w:rPr>
              <w:fldChar w:fldCharType="end"/>
            </w:r>
          </w:hyperlink>
        </w:p>
        <w:p w14:paraId="2D66EDD6" w14:textId="7EF86547" w:rsidR="00AC7C2F" w:rsidRDefault="00AC7C2F">
          <w:pPr>
            <w:pStyle w:val="TOC1"/>
            <w:tabs>
              <w:tab w:val="right" w:pos="10070"/>
            </w:tabs>
            <w:rPr>
              <w:rFonts w:cstheme="minorBidi"/>
              <w:noProof/>
              <w:kern w:val="2"/>
              <w:sz w:val="24"/>
              <w:szCs w:val="24"/>
              <w14:ligatures w14:val="standardContextual"/>
            </w:rPr>
          </w:pPr>
          <w:hyperlink w:anchor="_Toc225934271" w:history="1">
            <w:r w:rsidRPr="00BA7470">
              <w:rPr>
                <w:rStyle w:val="Hyperlink"/>
                <w:noProof/>
              </w:rPr>
              <w:t>APPENDIX A - REGULATORY CROSSWALK</w:t>
            </w:r>
            <w:r>
              <w:rPr>
                <w:noProof/>
                <w:webHidden/>
              </w:rPr>
              <w:tab/>
            </w:r>
            <w:r>
              <w:rPr>
                <w:noProof/>
                <w:webHidden/>
              </w:rPr>
              <w:fldChar w:fldCharType="begin"/>
            </w:r>
            <w:r>
              <w:rPr>
                <w:noProof/>
                <w:webHidden/>
              </w:rPr>
              <w:instrText xml:space="preserve"> PAGEREF _Toc225934271 \h </w:instrText>
            </w:r>
            <w:r>
              <w:rPr>
                <w:noProof/>
                <w:webHidden/>
              </w:rPr>
            </w:r>
            <w:r>
              <w:rPr>
                <w:noProof/>
                <w:webHidden/>
              </w:rPr>
              <w:fldChar w:fldCharType="separate"/>
            </w:r>
            <w:r>
              <w:rPr>
                <w:noProof/>
                <w:webHidden/>
              </w:rPr>
              <w:t>16</w:t>
            </w:r>
            <w:r>
              <w:rPr>
                <w:noProof/>
                <w:webHidden/>
              </w:rPr>
              <w:fldChar w:fldCharType="end"/>
            </w:r>
          </w:hyperlink>
        </w:p>
        <w:p w14:paraId="60BEE8A2" w14:textId="65203A89" w:rsidR="00AC7C2F" w:rsidRDefault="00AC7C2F">
          <w:pPr>
            <w:pStyle w:val="TOC1"/>
            <w:tabs>
              <w:tab w:val="right" w:pos="10070"/>
            </w:tabs>
            <w:rPr>
              <w:rFonts w:cstheme="minorBidi"/>
              <w:noProof/>
              <w:kern w:val="2"/>
              <w:sz w:val="24"/>
              <w:szCs w:val="24"/>
              <w14:ligatures w14:val="standardContextual"/>
            </w:rPr>
          </w:pPr>
          <w:hyperlink w:anchor="_Toc225934272" w:history="1">
            <w:r w:rsidRPr="00BA7470">
              <w:rPr>
                <w:rStyle w:val="Hyperlink"/>
                <w:noProof/>
              </w:rPr>
              <w:t>APPENDIX B - LINKS AND RESOURCES</w:t>
            </w:r>
            <w:r>
              <w:rPr>
                <w:noProof/>
                <w:webHidden/>
              </w:rPr>
              <w:tab/>
            </w:r>
            <w:r>
              <w:rPr>
                <w:noProof/>
                <w:webHidden/>
              </w:rPr>
              <w:fldChar w:fldCharType="begin"/>
            </w:r>
            <w:r>
              <w:rPr>
                <w:noProof/>
                <w:webHidden/>
              </w:rPr>
              <w:instrText xml:space="preserve"> PAGEREF _Toc225934272 \h </w:instrText>
            </w:r>
            <w:r>
              <w:rPr>
                <w:noProof/>
                <w:webHidden/>
              </w:rPr>
            </w:r>
            <w:r>
              <w:rPr>
                <w:noProof/>
                <w:webHidden/>
              </w:rPr>
              <w:fldChar w:fldCharType="separate"/>
            </w:r>
            <w:r>
              <w:rPr>
                <w:noProof/>
                <w:webHidden/>
              </w:rPr>
              <w:t>20</w:t>
            </w:r>
            <w:r>
              <w:rPr>
                <w:noProof/>
                <w:webHidden/>
              </w:rPr>
              <w:fldChar w:fldCharType="end"/>
            </w:r>
          </w:hyperlink>
        </w:p>
        <w:p w14:paraId="16EF6A0B" w14:textId="63C6C274" w:rsidR="00AC7C2F" w:rsidRDefault="00AC7C2F">
          <w:pPr>
            <w:pStyle w:val="TOC1"/>
            <w:tabs>
              <w:tab w:val="right" w:pos="10070"/>
            </w:tabs>
            <w:rPr>
              <w:rFonts w:cstheme="minorBidi"/>
              <w:noProof/>
              <w:kern w:val="2"/>
              <w:sz w:val="24"/>
              <w:szCs w:val="24"/>
              <w14:ligatures w14:val="standardContextual"/>
            </w:rPr>
          </w:pPr>
          <w:hyperlink w:anchor="_Toc225934273" w:history="1">
            <w:r w:rsidRPr="00BA7470">
              <w:rPr>
                <w:rStyle w:val="Hyperlink"/>
                <w:smallCaps/>
                <w:noProof/>
              </w:rPr>
              <w:t>Revision and Review Record</w:t>
            </w:r>
            <w:r>
              <w:rPr>
                <w:noProof/>
                <w:webHidden/>
              </w:rPr>
              <w:tab/>
            </w:r>
            <w:r>
              <w:rPr>
                <w:noProof/>
                <w:webHidden/>
              </w:rPr>
              <w:fldChar w:fldCharType="begin"/>
            </w:r>
            <w:r>
              <w:rPr>
                <w:noProof/>
                <w:webHidden/>
              </w:rPr>
              <w:instrText xml:space="preserve"> PAGEREF _Toc225934273 \h </w:instrText>
            </w:r>
            <w:r>
              <w:rPr>
                <w:noProof/>
                <w:webHidden/>
              </w:rPr>
            </w:r>
            <w:r>
              <w:rPr>
                <w:noProof/>
                <w:webHidden/>
              </w:rPr>
              <w:fldChar w:fldCharType="separate"/>
            </w:r>
            <w:r>
              <w:rPr>
                <w:noProof/>
                <w:webHidden/>
              </w:rPr>
              <w:t>22</w:t>
            </w:r>
            <w:r>
              <w:rPr>
                <w:noProof/>
                <w:webHidden/>
              </w:rPr>
              <w:fldChar w:fldCharType="end"/>
            </w:r>
          </w:hyperlink>
        </w:p>
        <w:p w14:paraId="1315B8E1" w14:textId="79C3DDA4" w:rsidR="00B07A45" w:rsidRDefault="00B07A45" w:rsidP="57A86BB5">
          <w:pPr>
            <w:pStyle w:val="TOC1"/>
            <w:tabs>
              <w:tab w:val="right" w:pos="10425"/>
            </w:tabs>
            <w:rPr>
              <w:rStyle w:val="Hyperlink"/>
              <w:noProof/>
              <w:kern w:val="2"/>
              <w14:ligatures w14:val="standardContextual"/>
            </w:rPr>
          </w:pPr>
          <w:r>
            <w:fldChar w:fldCharType="end"/>
          </w:r>
        </w:p>
      </w:sdtContent>
    </w:sdt>
    <w:p w14:paraId="4AC23E28" w14:textId="77777777" w:rsidR="002411E9" w:rsidRDefault="002411E9">
      <w:pPr>
        <w:sectPr w:rsidR="002411E9" w:rsidSect="0088069A">
          <w:headerReference w:type="default" r:id="rId12"/>
          <w:footerReference w:type="default" r:id="rId13"/>
          <w:footerReference w:type="first" r:id="rId14"/>
          <w:pgSz w:w="12240" w:h="15840" w:code="1"/>
          <w:pgMar w:top="1080" w:right="1080" w:bottom="1440" w:left="1080" w:header="0" w:footer="1080" w:gutter="0"/>
          <w:cols w:space="720"/>
          <w:docGrid w:linePitch="299"/>
        </w:sectPr>
      </w:pPr>
    </w:p>
    <w:p w14:paraId="098D91CB" w14:textId="2346989C" w:rsidR="00637B34" w:rsidRPr="009C3D2B" w:rsidRDefault="00B92963" w:rsidP="008259AE">
      <w:pPr>
        <w:pStyle w:val="Heading1"/>
      </w:pPr>
      <w:bookmarkStart w:id="0" w:name="_Toc225934243"/>
      <w:r w:rsidRPr="009C3D2B">
        <w:lastRenderedPageBreak/>
        <w:t>PURPOSE</w:t>
      </w:r>
      <w:bookmarkEnd w:id="0"/>
    </w:p>
    <w:p w14:paraId="64495E6C" w14:textId="77777777" w:rsidR="000744F7" w:rsidRDefault="000744F7" w:rsidP="00294A1A"/>
    <w:p w14:paraId="4CB46B82" w14:textId="61285B74" w:rsidR="00294A1A" w:rsidRDefault="00A96CA1" w:rsidP="00294A1A">
      <w:r>
        <w:t>The New Mexico Grants Management Guide provides a uniform framework for state agencies to oversee grants, ensuring compliance, accountability, and effective use of public funds. It helps agencies adhere to federal laws, regulations, award conditions, as well as New Mexico statutes, administrative rules, and financial policies statewide. The Guide encourages fiscal responsibility, proper stewardship of public resources, alignment with legislative goals and appropriations, and the achievement of program outcomes with measurable results. It also highlights the importance of audit readiness through clear documentation, ethical procurement, contract management, and risk-based oversight of subrecipients and contractors. Moreover, it synchronizes grant practices with the New Mexico Monitoring and Accountability Plan for Agencies (NM MAPS) to enhance internal controls and promote responsible oversight of both state and federal funding.</w:t>
      </w:r>
    </w:p>
    <w:p w14:paraId="7E98E460" w14:textId="77777777" w:rsidR="00860A1F" w:rsidRDefault="00860A1F" w:rsidP="00294A1A"/>
    <w:p w14:paraId="578FBA76" w14:textId="7CC3CCE8" w:rsidR="00B92963" w:rsidRPr="000F1BF6" w:rsidRDefault="00B92963" w:rsidP="00294A1A">
      <w:r w:rsidRPr="000F1BF6">
        <w:t>This Guide reflects alignment with:</w:t>
      </w:r>
    </w:p>
    <w:p w14:paraId="3FF11816" w14:textId="408E6343" w:rsidR="00B92963" w:rsidRPr="000F1BF6" w:rsidRDefault="00B92963" w:rsidP="00894EC0">
      <w:pPr>
        <w:widowControl/>
        <w:numPr>
          <w:ilvl w:val="0"/>
          <w:numId w:val="1"/>
        </w:numPr>
        <w:autoSpaceDE/>
        <w:autoSpaceDN/>
      </w:pPr>
      <w:r>
        <w:t>2 C</w:t>
      </w:r>
      <w:r w:rsidR="00A309CC">
        <w:t>.</w:t>
      </w:r>
      <w:r>
        <w:t>F</w:t>
      </w:r>
      <w:r w:rsidR="00A309CC">
        <w:t>.</w:t>
      </w:r>
      <w:r>
        <w:t>R</w:t>
      </w:r>
      <w:r w:rsidR="00A309CC">
        <w:t>.</w:t>
      </w:r>
      <w:r>
        <w:t xml:space="preserve"> Part 200 – Uniform Administrative Requirements, Cost Principles, and Audit Requirements</w:t>
      </w:r>
      <w:r w:rsidR="6C85F463">
        <w:t xml:space="preserve"> for Federal Awards</w:t>
      </w:r>
    </w:p>
    <w:p w14:paraId="1F35C7F4" w14:textId="77777777" w:rsidR="00B92963" w:rsidRPr="000F1BF6" w:rsidRDefault="00B92963" w:rsidP="00894EC0">
      <w:pPr>
        <w:widowControl/>
        <w:numPr>
          <w:ilvl w:val="0"/>
          <w:numId w:val="1"/>
        </w:numPr>
        <w:autoSpaceDE/>
        <w:autoSpaceDN/>
      </w:pPr>
      <w:r w:rsidRPr="000F1BF6">
        <w:t>Federal program-specific regulations and award terms</w:t>
      </w:r>
    </w:p>
    <w:p w14:paraId="6D44ABD0" w14:textId="45ED5457" w:rsidR="00B92963" w:rsidRPr="000F1BF6" w:rsidRDefault="00654EAC" w:rsidP="00894EC0">
      <w:pPr>
        <w:widowControl/>
        <w:numPr>
          <w:ilvl w:val="0"/>
          <w:numId w:val="1"/>
        </w:numPr>
        <w:autoSpaceDE/>
        <w:autoSpaceDN/>
      </w:pPr>
      <w:r>
        <w:t>New Mexico Procurement Code (Sections 13-1-28 to 13-1-199 NMSA 1978)</w:t>
      </w:r>
    </w:p>
    <w:p w14:paraId="7E803209" w14:textId="00080EA7" w:rsidR="00B92963" w:rsidRPr="000F1BF6" w:rsidRDefault="00A309CC" w:rsidP="00894EC0">
      <w:pPr>
        <w:widowControl/>
        <w:numPr>
          <w:ilvl w:val="0"/>
          <w:numId w:val="1"/>
        </w:numPr>
        <w:autoSpaceDE/>
        <w:autoSpaceDN/>
      </w:pPr>
      <w:r>
        <w:t xml:space="preserve">New Mexico Administrative Code (including, but not limited to, </w:t>
      </w:r>
      <w:r w:rsidR="00A93F85">
        <w:t xml:space="preserve">NMAC Rule </w:t>
      </w:r>
      <w:r>
        <w:t>1.4, 2.2.2,</w:t>
      </w:r>
      <w:r w:rsidR="00A93F85">
        <w:t xml:space="preserve"> and</w:t>
      </w:r>
      <w:r>
        <w:t xml:space="preserve"> 2.20.1)</w:t>
      </w:r>
    </w:p>
    <w:p w14:paraId="170C7DA1" w14:textId="77777777" w:rsidR="00B92963" w:rsidRPr="000F1BF6" w:rsidRDefault="00B92963" w:rsidP="00894EC0">
      <w:pPr>
        <w:widowControl/>
        <w:numPr>
          <w:ilvl w:val="0"/>
          <w:numId w:val="1"/>
        </w:numPr>
        <w:autoSpaceDE/>
        <w:autoSpaceDN/>
      </w:pPr>
      <w:r w:rsidRPr="000F1BF6">
        <w:t>State Audit Act</w:t>
      </w:r>
    </w:p>
    <w:p w14:paraId="553C54CA" w14:textId="77777777" w:rsidR="00B92963" w:rsidRPr="000F1BF6" w:rsidRDefault="00B92963" w:rsidP="00894EC0">
      <w:pPr>
        <w:widowControl/>
        <w:numPr>
          <w:ilvl w:val="0"/>
          <w:numId w:val="1"/>
        </w:numPr>
        <w:autoSpaceDE/>
        <w:autoSpaceDN/>
      </w:pPr>
      <w:r w:rsidRPr="000F1BF6">
        <w:t>Public Records Act</w:t>
      </w:r>
    </w:p>
    <w:p w14:paraId="068DB848" w14:textId="77777777" w:rsidR="00B92963" w:rsidRPr="000F1BF6" w:rsidRDefault="00B92963" w:rsidP="00894EC0">
      <w:pPr>
        <w:widowControl/>
        <w:numPr>
          <w:ilvl w:val="0"/>
          <w:numId w:val="1"/>
        </w:numPr>
        <w:autoSpaceDE/>
        <w:autoSpaceDN/>
      </w:pPr>
      <w:r w:rsidRPr="000F1BF6">
        <w:t>General Appropriations Act</w:t>
      </w:r>
    </w:p>
    <w:p w14:paraId="05E34F0B" w14:textId="77777777" w:rsidR="00B92963" w:rsidRPr="000F1BF6" w:rsidRDefault="00B92963" w:rsidP="00894EC0">
      <w:pPr>
        <w:widowControl/>
        <w:numPr>
          <w:ilvl w:val="0"/>
          <w:numId w:val="1"/>
        </w:numPr>
        <w:autoSpaceDE/>
        <w:autoSpaceDN/>
      </w:pPr>
      <w:r w:rsidRPr="000F1BF6">
        <w:t>DFA Financial Control Division policies</w:t>
      </w:r>
    </w:p>
    <w:p w14:paraId="7C5C04E7" w14:textId="77777777" w:rsidR="00B92963" w:rsidRPr="000F1BF6" w:rsidRDefault="00B92963" w:rsidP="00894EC0">
      <w:pPr>
        <w:widowControl/>
        <w:numPr>
          <w:ilvl w:val="0"/>
          <w:numId w:val="1"/>
        </w:numPr>
        <w:autoSpaceDE/>
        <w:autoSpaceDN/>
      </w:pPr>
      <w:r w:rsidRPr="000F1BF6">
        <w:t>SHARE system requirements</w:t>
      </w:r>
    </w:p>
    <w:p w14:paraId="7134FCB0" w14:textId="77777777" w:rsidR="00B92963" w:rsidRDefault="00B92963" w:rsidP="00894EC0">
      <w:pPr>
        <w:widowControl/>
        <w:numPr>
          <w:ilvl w:val="0"/>
          <w:numId w:val="1"/>
        </w:numPr>
        <w:autoSpaceDE/>
        <w:autoSpaceDN/>
      </w:pPr>
      <w:r w:rsidRPr="000F1BF6">
        <w:t>NM MAPS internal control and risk management standards</w:t>
      </w:r>
    </w:p>
    <w:p w14:paraId="555610A5" w14:textId="77777777" w:rsidR="00886510" w:rsidRDefault="00886510" w:rsidP="00886510">
      <w:pPr>
        <w:widowControl/>
        <w:autoSpaceDE/>
        <w:autoSpaceDN/>
      </w:pPr>
    </w:p>
    <w:p w14:paraId="097B1980" w14:textId="3B295FE0" w:rsidR="00886510" w:rsidRDefault="00654EAC" w:rsidP="00886510">
      <w:pPr>
        <w:widowControl/>
        <w:autoSpaceDE/>
        <w:autoSpaceDN/>
      </w:pPr>
      <w:r>
        <w:t>A comprehensive crosswalk of relevant federal and New Mexico statutory, regulatory, and policy authorities is included in Appendix A – Regulatory Crosswalk, which is incorporated by reference into this Guide. Useful links and references are provided at the end of this document, see Appendix B.</w:t>
      </w:r>
    </w:p>
    <w:p w14:paraId="05AB6F7D" w14:textId="77777777" w:rsidR="00294A1A" w:rsidRPr="000F1BF6" w:rsidRDefault="00294A1A" w:rsidP="00294A1A">
      <w:pPr>
        <w:widowControl/>
        <w:autoSpaceDE/>
        <w:autoSpaceDN/>
        <w:ind w:left="720"/>
      </w:pPr>
    </w:p>
    <w:p w14:paraId="545A3D6E" w14:textId="37B85ED3" w:rsidR="00B92963" w:rsidRPr="0068766D" w:rsidRDefault="00B92963" w:rsidP="008259AE">
      <w:pPr>
        <w:pStyle w:val="Heading1"/>
      </w:pPr>
      <w:bookmarkStart w:id="1" w:name="_Toc225934244"/>
      <w:r w:rsidRPr="0068766D">
        <w:t>GOVERNANCE &amp; INTERNAL CONTROL FRAMEWORK</w:t>
      </w:r>
      <w:bookmarkEnd w:id="1"/>
    </w:p>
    <w:p w14:paraId="316DECF6" w14:textId="77777777" w:rsidR="000744F7" w:rsidRDefault="000744F7" w:rsidP="00294A1A"/>
    <w:p w14:paraId="24F37DFA" w14:textId="01944D81" w:rsidR="00B92963" w:rsidRDefault="00C03ADC" w:rsidP="00294A1A">
      <w:r>
        <w:t>Effective grant management needs a documented governance framework that defines authority, accountability, and separation of duties.</w:t>
      </w:r>
    </w:p>
    <w:p w14:paraId="2765F367" w14:textId="77777777" w:rsidR="00294A1A" w:rsidRPr="000F1BF6" w:rsidRDefault="00294A1A" w:rsidP="00294A1A"/>
    <w:p w14:paraId="2C34B192" w14:textId="77777777" w:rsidR="00B92963" w:rsidRPr="000F1BF6" w:rsidRDefault="00B92963" w:rsidP="00294A1A">
      <w:r w:rsidRPr="000F1BF6">
        <w:t>Agencies shall maintain:</w:t>
      </w:r>
    </w:p>
    <w:p w14:paraId="7C8CE808" w14:textId="31AEAE6A" w:rsidR="00B92963" w:rsidRPr="000F1BF6" w:rsidRDefault="00625FD7" w:rsidP="00894EC0">
      <w:pPr>
        <w:widowControl/>
        <w:numPr>
          <w:ilvl w:val="0"/>
          <w:numId w:val="2"/>
        </w:numPr>
        <w:autoSpaceDE/>
        <w:autoSpaceDN/>
      </w:pPr>
      <w:r>
        <w:t>A Grant Manager designated for managing the entire lifecycle.</w:t>
      </w:r>
    </w:p>
    <w:p w14:paraId="44AE6B60" w14:textId="1059D2EF" w:rsidR="00B92963" w:rsidRPr="000F1BF6" w:rsidRDefault="00B92963" w:rsidP="00894EC0">
      <w:pPr>
        <w:widowControl/>
        <w:numPr>
          <w:ilvl w:val="0"/>
          <w:numId w:val="2"/>
        </w:numPr>
        <w:autoSpaceDE/>
        <w:autoSpaceDN/>
      </w:pPr>
      <w:r w:rsidRPr="000F1BF6">
        <w:t>Fiscal oversight consistent with 2.2.2 NMAC</w:t>
      </w:r>
      <w:r w:rsidR="00EF68B9">
        <w:t xml:space="preserve"> and MAPs</w:t>
      </w:r>
    </w:p>
    <w:p w14:paraId="725A0E13" w14:textId="460D35AD" w:rsidR="00B92963" w:rsidRPr="000F1BF6" w:rsidRDefault="00BA3471" w:rsidP="00894EC0">
      <w:pPr>
        <w:widowControl/>
        <w:numPr>
          <w:ilvl w:val="0"/>
          <w:numId w:val="2"/>
        </w:numPr>
        <w:autoSpaceDE/>
        <w:autoSpaceDN/>
      </w:pPr>
      <w:r>
        <w:t xml:space="preserve">Procurement oversight aligned with the Procurement Code and NMAC Rule 1.4 </w:t>
      </w:r>
    </w:p>
    <w:p w14:paraId="786D05DA" w14:textId="068030FE" w:rsidR="10D95666" w:rsidRDefault="00303095" w:rsidP="00894EC0">
      <w:pPr>
        <w:widowControl/>
        <w:numPr>
          <w:ilvl w:val="0"/>
          <w:numId w:val="2"/>
        </w:numPr>
      </w:pPr>
      <w:r>
        <w:t>Program oversight responsible for executing the scope of work.</w:t>
      </w:r>
    </w:p>
    <w:p w14:paraId="03DAE4B2" w14:textId="0F3E4580" w:rsidR="00B92963" w:rsidRPr="000F1BF6" w:rsidRDefault="00BA3471" w:rsidP="00894EC0">
      <w:pPr>
        <w:widowControl/>
        <w:numPr>
          <w:ilvl w:val="0"/>
          <w:numId w:val="2"/>
        </w:numPr>
        <w:autoSpaceDE/>
        <w:autoSpaceDN/>
      </w:pPr>
      <w:r>
        <w:t>Compliance oversight to maintain audit readiness</w:t>
      </w:r>
    </w:p>
    <w:p w14:paraId="7F842274" w14:textId="6B23216C" w:rsidR="00B92963" w:rsidRPr="000F1BF6" w:rsidRDefault="00BA3471" w:rsidP="00894EC0">
      <w:pPr>
        <w:widowControl/>
        <w:numPr>
          <w:ilvl w:val="0"/>
          <w:numId w:val="2"/>
        </w:numPr>
        <w:autoSpaceDE/>
        <w:autoSpaceDN/>
      </w:pPr>
      <w:r>
        <w:t>Segregation of duties aligned with NM MAPS and COSO internal control standards</w:t>
      </w:r>
    </w:p>
    <w:p w14:paraId="175C9712" w14:textId="4474AE9D" w:rsidR="0037723F" w:rsidRDefault="001E2E07" w:rsidP="00294A1A">
      <w:pPr>
        <w:widowControl/>
        <w:numPr>
          <w:ilvl w:val="0"/>
          <w:numId w:val="2"/>
        </w:numPr>
        <w:autoSpaceDE/>
        <w:autoSpaceDN/>
      </w:pPr>
      <w:r>
        <w:t xml:space="preserve">Internal controls consistent with </w:t>
      </w:r>
      <w:r w:rsidR="00B92963" w:rsidRPr="000F1BF6">
        <w:t>2 CFR §200.303</w:t>
      </w:r>
    </w:p>
    <w:p w14:paraId="669E9982" w14:textId="77777777" w:rsidR="00C15334" w:rsidRDefault="00C15334" w:rsidP="009B2313">
      <w:pPr>
        <w:widowControl/>
        <w:autoSpaceDE/>
        <w:autoSpaceDN/>
        <w:ind w:left="720"/>
      </w:pPr>
    </w:p>
    <w:p w14:paraId="0B2AB946" w14:textId="508184F1" w:rsidR="00B92963" w:rsidRPr="000F1BF6" w:rsidRDefault="00B92963" w:rsidP="00294A1A">
      <w:r w:rsidRPr="000F1BF6">
        <w:t>NM MAPS further requires:</w:t>
      </w:r>
    </w:p>
    <w:p w14:paraId="01127319" w14:textId="120FFD5B" w:rsidR="00B92963" w:rsidRPr="000F1BF6" w:rsidRDefault="00B92963" w:rsidP="00894EC0">
      <w:pPr>
        <w:widowControl/>
        <w:numPr>
          <w:ilvl w:val="0"/>
          <w:numId w:val="3"/>
        </w:numPr>
        <w:autoSpaceDE/>
        <w:autoSpaceDN/>
      </w:pPr>
      <w:r w:rsidRPr="000F1BF6">
        <w:t>Documented enterprise risk management processes</w:t>
      </w:r>
    </w:p>
    <w:p w14:paraId="3BD63031" w14:textId="1BBEDD17" w:rsidR="00B92963" w:rsidRPr="000F1BF6" w:rsidRDefault="00B92963" w:rsidP="00894EC0">
      <w:pPr>
        <w:widowControl/>
        <w:numPr>
          <w:ilvl w:val="0"/>
          <w:numId w:val="3"/>
        </w:numPr>
        <w:autoSpaceDE/>
        <w:autoSpaceDN/>
      </w:pPr>
      <w:r w:rsidRPr="000F1BF6">
        <w:t>Annual risk assessments</w:t>
      </w:r>
    </w:p>
    <w:p w14:paraId="3719E6CF" w14:textId="6D91F042" w:rsidR="00886510" w:rsidRDefault="00B92963" w:rsidP="00894EC0">
      <w:pPr>
        <w:widowControl/>
        <w:numPr>
          <w:ilvl w:val="0"/>
          <w:numId w:val="3"/>
        </w:numPr>
        <w:autoSpaceDE/>
        <w:autoSpaceDN/>
      </w:pPr>
      <w:r>
        <w:t>Monitoring and corrective action tracking</w:t>
      </w:r>
    </w:p>
    <w:p w14:paraId="5DD5A848" w14:textId="2E891475" w:rsidR="00B92963" w:rsidRPr="000F1BF6" w:rsidRDefault="00B92963" w:rsidP="00894EC0">
      <w:pPr>
        <w:widowControl/>
        <w:numPr>
          <w:ilvl w:val="0"/>
          <w:numId w:val="3"/>
        </w:numPr>
        <w:autoSpaceDE/>
        <w:autoSpaceDN/>
      </w:pPr>
      <w:r w:rsidRPr="000F1BF6">
        <w:t>Management review documentation</w:t>
      </w:r>
    </w:p>
    <w:p w14:paraId="6987F347" w14:textId="5BE28B98" w:rsidR="00294A1A" w:rsidRDefault="00294A1A" w:rsidP="00294A1A"/>
    <w:p w14:paraId="4A76F08B" w14:textId="5B0E7500" w:rsidR="47B65FA4" w:rsidRDefault="47B65FA4">
      <w:r>
        <w:t>Internal controls should be proportionate to the complexity, size, and risk level of the grant portfolio.</w:t>
      </w:r>
    </w:p>
    <w:p w14:paraId="312C53B5" w14:textId="77777777" w:rsidR="00294A1A" w:rsidRDefault="00294A1A" w:rsidP="00294A1A"/>
    <w:p w14:paraId="7EFDE3E8" w14:textId="77777777" w:rsidR="00886510" w:rsidRPr="000F1BF6" w:rsidRDefault="00886510" w:rsidP="00294A1A"/>
    <w:p w14:paraId="21D3861D" w14:textId="209AA6D1" w:rsidR="00B92963" w:rsidRPr="001153A9" w:rsidRDefault="00B92963" w:rsidP="008259AE">
      <w:pPr>
        <w:pStyle w:val="Heading1"/>
        <w:rPr>
          <w:rStyle w:val="SubtleEmphasis"/>
          <w:i w:val="0"/>
          <w:color w:val="auto"/>
        </w:rPr>
      </w:pPr>
      <w:bookmarkStart w:id="2" w:name="_Toc225934245"/>
      <w:r w:rsidRPr="001153A9">
        <w:rPr>
          <w:rStyle w:val="SubtleEmphasis"/>
          <w:i w:val="0"/>
          <w:color w:val="auto"/>
        </w:rPr>
        <w:t>GRANT LIFECYCLE FRAMEWORK</w:t>
      </w:r>
      <w:bookmarkEnd w:id="2"/>
    </w:p>
    <w:p w14:paraId="7A253CA4" w14:textId="77777777" w:rsidR="000744F7" w:rsidRDefault="000744F7" w:rsidP="00B92963">
      <w:pPr>
        <w:spacing w:after="160" w:line="278" w:lineRule="auto"/>
      </w:pPr>
    </w:p>
    <w:p w14:paraId="4ACCBB5C" w14:textId="25925720" w:rsidR="00B92963" w:rsidRPr="000F1BF6" w:rsidRDefault="00B92963" w:rsidP="00B92963">
      <w:pPr>
        <w:spacing w:after="160" w:line="278" w:lineRule="auto"/>
      </w:pPr>
      <w:r w:rsidRPr="000F1BF6">
        <w:t>New Mexico adopts a full lifecycle approach to grant management:</w:t>
      </w:r>
    </w:p>
    <w:p w14:paraId="2B3C946F" w14:textId="77777777" w:rsidR="00B92963" w:rsidRPr="000F1BF6" w:rsidRDefault="00B92963" w:rsidP="00894EC0">
      <w:pPr>
        <w:widowControl/>
        <w:numPr>
          <w:ilvl w:val="0"/>
          <w:numId w:val="4"/>
        </w:numPr>
        <w:autoSpaceDE/>
        <w:autoSpaceDN/>
      </w:pPr>
      <w:r w:rsidRPr="000F1BF6">
        <w:t>Pre-Award Planning</w:t>
      </w:r>
    </w:p>
    <w:p w14:paraId="4E174243" w14:textId="77777777" w:rsidR="00B92963" w:rsidRPr="000F1BF6" w:rsidRDefault="00B92963" w:rsidP="00894EC0">
      <w:pPr>
        <w:widowControl/>
        <w:numPr>
          <w:ilvl w:val="0"/>
          <w:numId w:val="4"/>
        </w:numPr>
        <w:autoSpaceDE/>
        <w:autoSpaceDN/>
      </w:pPr>
      <w:r w:rsidRPr="000F1BF6">
        <w:t>Application Development</w:t>
      </w:r>
    </w:p>
    <w:p w14:paraId="6D55D94E" w14:textId="77777777" w:rsidR="00B92963" w:rsidRPr="000F1BF6" w:rsidRDefault="00B92963" w:rsidP="00894EC0">
      <w:pPr>
        <w:widowControl/>
        <w:numPr>
          <w:ilvl w:val="0"/>
          <w:numId w:val="4"/>
        </w:numPr>
        <w:autoSpaceDE/>
        <w:autoSpaceDN/>
      </w:pPr>
      <w:r w:rsidRPr="000F1BF6">
        <w:t>Award Acceptance and Setup</w:t>
      </w:r>
    </w:p>
    <w:p w14:paraId="117E84CB" w14:textId="77777777" w:rsidR="00B92963" w:rsidRPr="000F1BF6" w:rsidRDefault="00B92963" w:rsidP="00894EC0">
      <w:pPr>
        <w:widowControl/>
        <w:numPr>
          <w:ilvl w:val="0"/>
          <w:numId w:val="4"/>
        </w:numPr>
        <w:autoSpaceDE/>
        <w:autoSpaceDN/>
      </w:pPr>
      <w:r w:rsidRPr="000F1BF6">
        <w:t>Procurement and Contract Management</w:t>
      </w:r>
    </w:p>
    <w:p w14:paraId="3DB9122C" w14:textId="77777777" w:rsidR="00B92963" w:rsidRPr="000F1BF6" w:rsidRDefault="00B92963" w:rsidP="00894EC0">
      <w:pPr>
        <w:widowControl/>
        <w:numPr>
          <w:ilvl w:val="0"/>
          <w:numId w:val="4"/>
        </w:numPr>
        <w:autoSpaceDE/>
        <w:autoSpaceDN/>
      </w:pPr>
      <w:r w:rsidRPr="000F1BF6">
        <w:t>Financial Management</w:t>
      </w:r>
    </w:p>
    <w:p w14:paraId="7FFB0530" w14:textId="77777777" w:rsidR="00B92963" w:rsidRPr="000F1BF6" w:rsidRDefault="00B92963" w:rsidP="00894EC0">
      <w:pPr>
        <w:widowControl/>
        <w:numPr>
          <w:ilvl w:val="0"/>
          <w:numId w:val="4"/>
        </w:numPr>
        <w:autoSpaceDE/>
        <w:autoSpaceDN/>
      </w:pPr>
      <w:r w:rsidRPr="000F1BF6">
        <w:t>Programmatic Management</w:t>
      </w:r>
    </w:p>
    <w:p w14:paraId="5C02EF28" w14:textId="77777777" w:rsidR="00B92963" w:rsidRPr="000F1BF6" w:rsidRDefault="00B92963" w:rsidP="00894EC0">
      <w:pPr>
        <w:widowControl/>
        <w:numPr>
          <w:ilvl w:val="0"/>
          <w:numId w:val="4"/>
        </w:numPr>
        <w:autoSpaceDE/>
        <w:autoSpaceDN/>
      </w:pPr>
      <w:r w:rsidRPr="000F1BF6">
        <w:t>Compliance and Risk Management</w:t>
      </w:r>
    </w:p>
    <w:p w14:paraId="779DC0F2" w14:textId="77777777" w:rsidR="00B92963" w:rsidRPr="000F1BF6" w:rsidRDefault="00B92963" w:rsidP="00894EC0">
      <w:pPr>
        <w:widowControl/>
        <w:numPr>
          <w:ilvl w:val="0"/>
          <w:numId w:val="4"/>
        </w:numPr>
        <w:autoSpaceDE/>
        <w:autoSpaceDN/>
      </w:pPr>
      <w:r w:rsidRPr="000F1BF6">
        <w:t>Reporting</w:t>
      </w:r>
    </w:p>
    <w:p w14:paraId="7A0007EF" w14:textId="77777777" w:rsidR="00B92963" w:rsidRPr="000F1BF6" w:rsidRDefault="00B92963" w:rsidP="00894EC0">
      <w:pPr>
        <w:widowControl/>
        <w:numPr>
          <w:ilvl w:val="0"/>
          <w:numId w:val="4"/>
        </w:numPr>
        <w:autoSpaceDE/>
        <w:autoSpaceDN/>
      </w:pPr>
      <w:r w:rsidRPr="000F1BF6">
        <w:t>Grant Modifications</w:t>
      </w:r>
    </w:p>
    <w:p w14:paraId="6E3D5E1F" w14:textId="77777777" w:rsidR="00B92963" w:rsidRPr="000F1BF6" w:rsidRDefault="00B92963" w:rsidP="00894EC0">
      <w:pPr>
        <w:widowControl/>
        <w:numPr>
          <w:ilvl w:val="0"/>
          <w:numId w:val="4"/>
        </w:numPr>
        <w:autoSpaceDE/>
        <w:autoSpaceDN/>
      </w:pPr>
      <w:r w:rsidRPr="000F1BF6">
        <w:t>Audit and Monitoring</w:t>
      </w:r>
    </w:p>
    <w:p w14:paraId="4350C6AB" w14:textId="77777777" w:rsidR="00B92963" w:rsidRPr="000F1BF6" w:rsidRDefault="00B92963" w:rsidP="00894EC0">
      <w:pPr>
        <w:widowControl/>
        <w:numPr>
          <w:ilvl w:val="0"/>
          <w:numId w:val="4"/>
        </w:numPr>
        <w:autoSpaceDE/>
        <w:autoSpaceDN/>
      </w:pPr>
      <w:r w:rsidRPr="000F1BF6">
        <w:t>Closeout</w:t>
      </w:r>
    </w:p>
    <w:p w14:paraId="0CE26E42" w14:textId="77777777" w:rsidR="00B92963" w:rsidRPr="000F1BF6" w:rsidRDefault="00B92963" w:rsidP="00894EC0">
      <w:pPr>
        <w:widowControl/>
        <w:numPr>
          <w:ilvl w:val="0"/>
          <w:numId w:val="4"/>
        </w:numPr>
        <w:autoSpaceDE/>
        <w:autoSpaceDN/>
      </w:pPr>
      <w:r w:rsidRPr="000F1BF6">
        <w:t>Post-Closeout and Records Retention</w:t>
      </w:r>
    </w:p>
    <w:p w14:paraId="65AC8F2C" w14:textId="77777777" w:rsidR="00B92963" w:rsidRDefault="00B92963" w:rsidP="00894EC0">
      <w:pPr>
        <w:widowControl/>
        <w:numPr>
          <w:ilvl w:val="0"/>
          <w:numId w:val="4"/>
        </w:numPr>
        <w:autoSpaceDE/>
        <w:autoSpaceDN/>
      </w:pPr>
      <w:r w:rsidRPr="000F1BF6">
        <w:t>Continuous Improvement</w:t>
      </w:r>
    </w:p>
    <w:p w14:paraId="6BCD56BE" w14:textId="77777777" w:rsidR="00311232" w:rsidRPr="000F1BF6" w:rsidRDefault="00311232" w:rsidP="00311232">
      <w:pPr>
        <w:widowControl/>
        <w:autoSpaceDE/>
        <w:autoSpaceDN/>
        <w:ind w:left="720"/>
      </w:pPr>
    </w:p>
    <w:p w14:paraId="27FD89D7" w14:textId="19980358" w:rsidR="00B92963" w:rsidRPr="000F1BF6" w:rsidRDefault="00975DB0" w:rsidP="00311232">
      <w:r>
        <w:t>Each phase is overseen by both federal and state authorities, where applicable.</w:t>
      </w:r>
    </w:p>
    <w:p w14:paraId="449DC470" w14:textId="3F85B62E" w:rsidR="00B92963" w:rsidRPr="000F1BF6" w:rsidRDefault="00B92963" w:rsidP="00B92963">
      <w:pPr>
        <w:spacing w:after="160" w:line="278" w:lineRule="auto"/>
      </w:pPr>
    </w:p>
    <w:p w14:paraId="7385D387" w14:textId="05E8B5A8" w:rsidR="00B92963" w:rsidRPr="004A29F2" w:rsidRDefault="00B92963" w:rsidP="004A29F2">
      <w:pPr>
        <w:pStyle w:val="Heading1"/>
        <w:rPr>
          <w:rStyle w:val="SubtleEmphasis"/>
          <w:i w:val="0"/>
          <w:iCs w:val="0"/>
          <w:color w:val="auto"/>
        </w:rPr>
      </w:pPr>
      <w:bookmarkStart w:id="3" w:name="_Toc225934246"/>
      <w:r w:rsidRPr="004A29F2">
        <w:rPr>
          <w:rStyle w:val="SubtleEmphasis"/>
          <w:i w:val="0"/>
          <w:iCs w:val="0"/>
          <w:color w:val="auto"/>
        </w:rPr>
        <w:t>PRE-AWARD PLANNING</w:t>
      </w:r>
      <w:bookmarkEnd w:id="3"/>
    </w:p>
    <w:p w14:paraId="0E928203" w14:textId="77777777" w:rsidR="000744F7" w:rsidRDefault="000744F7" w:rsidP="00D912B3"/>
    <w:p w14:paraId="627DEB26" w14:textId="5A191048" w:rsidR="00D912B3" w:rsidRDefault="000744F7" w:rsidP="00D912B3">
      <w:r>
        <w:t>Before applying for or accepting grant funding, agencies should assess whether the opportunity aligns with their statutory authority, organizational mission, and operational capacity. A thorough pre-award evaluation helps determine if the agency is legally permitted and sufficiently prepared to carry out the proposed project. This review should verify that the funding opportunity is consistent with the agency’s statutory authority, legislative intent, and any relevant appropriations language related to the use of funds.</w:t>
      </w:r>
    </w:p>
    <w:p w14:paraId="13B30865" w14:textId="77777777" w:rsidR="00D912B3" w:rsidRDefault="00D912B3" w:rsidP="00D912B3"/>
    <w:p w14:paraId="5655BA45" w14:textId="064CF332" w:rsidR="00D912B3" w:rsidRDefault="00C24ED3" w:rsidP="00D912B3">
      <w:r>
        <w:t>Agencies must also evaluate their programmatic and fiscal capacity to manage the award effectively. This includes determining whether there are enough staff expertise, operational systems, and administrative resources to implement the project, meet performance standards, and comply with financial and reporting requirements. The assessment should also consider the long-term sustainability of the funded activity and examine potential compliance risks, including regulatory requirements, reporting obligations, procurement rules, and audit considerations related to the award.</w:t>
      </w:r>
    </w:p>
    <w:p w14:paraId="31D7D005" w14:textId="77777777" w:rsidR="00D912B3" w:rsidRDefault="00D912B3" w:rsidP="00D912B3"/>
    <w:p w14:paraId="1D79E719" w14:textId="1ABA1889" w:rsidR="009665D2" w:rsidRDefault="003F622C" w:rsidP="00D912B3">
      <w:r>
        <w:t xml:space="preserve">To promote transparency and accountability, agencies should implement a structured file management system for all pre-award review documentation. A standardized electronic folder hierarchy should be established in a secure, centralized location to organize essential materials such as the funding announcement, statutory authority review, internal approvals, program capacity assessments, risk analyses, draft application documents, and related correspondence. Keeping well-organized pre-award files helps create a clear audit trail and shows that the agency performed proper due diligence before pursuing or accepting grant funding. </w:t>
      </w:r>
    </w:p>
    <w:p w14:paraId="2C52F821" w14:textId="6D94E93E" w:rsidR="26FE8276" w:rsidRDefault="26FE8276"/>
    <w:p w14:paraId="73D4958D" w14:textId="2B0CC658" w:rsidR="001B6277" w:rsidRDefault="00281142" w:rsidP="00D912B3">
      <w:r>
        <w:t xml:space="preserve">For federal grant opportunities, agencies need to complete all necessary federal registrations and establish </w:t>
      </w:r>
      <w:r>
        <w:lastRenderedPageBreak/>
        <w:t>system access before applying for funding. This includes maintaining an active, up-to-date registration in SAM.gov, which is essential for receiving federal awards and must be renewed yearly. Agencies should also create and keep an organizational profile in Grants.gov to find funding opportunities and submit applications. Within Grants.gov, they must appoint at least one Authorized Organization Representative (AOR) responsible for submitting applications on behalf of the organization. To enhance risk management and ensure continuity, it is recommended that agencies assign a backup AOR if the primary is unavailable. Proper registration, role management, and access controls are vital for effective pre-award planning and can help prevent application delays or loss of eligibility for federal funding.</w:t>
      </w:r>
    </w:p>
    <w:p w14:paraId="717B11BB" w14:textId="462286D3" w:rsidR="00E21FE8" w:rsidRDefault="00E21FE8" w:rsidP="135D9C30">
      <w:pPr>
        <w:rPr>
          <w:rStyle w:val="IntenseReference"/>
          <w:highlight w:val="yellow"/>
        </w:rPr>
      </w:pPr>
    </w:p>
    <w:p w14:paraId="7574B15C" w14:textId="2DBDF043" w:rsidR="006C0CBF" w:rsidRDefault="006C0CBF" w:rsidP="135D9C30">
      <w:pPr>
        <w:rPr>
          <w:rStyle w:val="IntenseReference"/>
          <w:highlight w:val="yellow"/>
        </w:rPr>
      </w:pPr>
      <w:r>
        <w:rPr>
          <w:noProof/>
        </w:rPr>
        <mc:AlternateContent>
          <mc:Choice Requires="wps">
            <w:drawing>
              <wp:inline distT="45720" distB="45720" distL="114300" distR="114300" wp14:anchorId="6AB6FED2" wp14:editId="6C6E49F1">
                <wp:extent cx="6400800" cy="414647"/>
                <wp:effectExtent l="0" t="0" r="19050" b="16510"/>
                <wp:docPr id="1872275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14647"/>
                        </a:xfrm>
                        <a:prstGeom prst="rect">
                          <a:avLst/>
                        </a:prstGeom>
                        <a:solidFill>
                          <a:srgbClr val="FFFFFF"/>
                        </a:solidFill>
                        <a:ln w="9525">
                          <a:solidFill>
                            <a:srgbClr val="004D4C"/>
                          </a:solidFill>
                          <a:miter lim="800000"/>
                          <a:headEnd/>
                          <a:tailEnd/>
                        </a:ln>
                      </wps:spPr>
                      <wps:txbx>
                        <w:txbxContent>
                          <w:p w14:paraId="4FEC0D10" w14:textId="77777777" w:rsidR="006C0CBF" w:rsidRPr="00B74CFC" w:rsidRDefault="006C0CBF" w:rsidP="006C0CBF">
                            <w:pPr>
                              <w:pStyle w:val="BestPractice"/>
                            </w:pPr>
                            <w:r w:rsidRPr="00B74CFC">
                              <w:t>BEST PRACTICE - Establishing a clear electronic folder structure is the first step toward staying compliant, audit-ready, and in control of your grant.​</w:t>
                            </w:r>
                          </w:p>
                        </w:txbxContent>
                      </wps:txbx>
                      <wps:bodyPr rot="0" vert="horz" wrap="square" lIns="91440" tIns="45720" rIns="91440" bIns="45720" anchor="t" anchorCtr="0">
                        <a:spAutoFit/>
                      </wps:bodyPr>
                    </wps:wsp>
                  </a:graphicData>
                </a:graphic>
              </wp:inline>
            </w:drawing>
          </mc:Choice>
          <mc:Fallback>
            <w:pict>
              <v:shapetype w14:anchorId="6AB6FED2" id="_x0000_t202" coordsize="21600,21600" o:spt="202" path="m,l,21600r21600,l21600,xe">
                <v:stroke joinstyle="miter"/>
                <v:path gradientshapeok="t" o:connecttype="rect"/>
              </v:shapetype>
              <v:shape id="Text Box 2" o:spid="_x0000_s1026" type="#_x0000_t202" style="width:7in;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" strokecolor="#004d4c">
                <v:textbox style="mso-fit-shape-to-text:t">
                  <w:txbxContent>
                    <w:p w14:paraId="4FEC0D10" w14:textId="77777777" w:rsidR="006C0CBF" w:rsidRPr="00B74CFC" w:rsidRDefault="006C0CBF" w:rsidP="006C0CBF">
                      <w:pPr>
                        <w:pStyle w:val="BestPractice"/>
                      </w:pPr>
                      <w:r w:rsidRPr="00B74CFC">
                        <w:t>BEST PRACTICE - Establishing a clear electronic folder structure is the first step toward staying compliant, audit-ready, and in control of your grant.​</w:t>
                      </w:r>
                    </w:p>
                  </w:txbxContent>
                </v:textbox>
                <w10:anchorlock/>
              </v:shape>
            </w:pict>
          </mc:Fallback>
        </mc:AlternateContent>
      </w:r>
    </w:p>
    <w:p w14:paraId="5ABFD85B" w14:textId="77777777" w:rsidR="006C0CBF" w:rsidRDefault="006C0CBF" w:rsidP="135D9C30">
      <w:pPr>
        <w:rPr>
          <w:rStyle w:val="IntenseReference"/>
          <w:highlight w:val="yellow"/>
        </w:rPr>
      </w:pPr>
    </w:p>
    <w:p w14:paraId="014FD874" w14:textId="7E006DA3" w:rsidR="4F41F7E9" w:rsidRPr="00891B88" w:rsidRDefault="6C464B0B" w:rsidP="135D9C30">
      <w:pPr>
        <w:rPr>
          <w:rStyle w:val="IntenseReference"/>
          <w:highlight w:val="yellow"/>
        </w:rPr>
      </w:pPr>
      <w:r w:rsidRPr="00891B88">
        <w:rPr>
          <w:rStyle w:val="IntenseReference"/>
          <w:highlight w:val="yellow"/>
        </w:rPr>
        <w:t>Agency</w:t>
      </w:r>
      <w:r w:rsidRPr="00891B88">
        <w:rPr>
          <w:rStyle w:val="IntenseReference"/>
          <w:rFonts w:ascii="Cambria Math" w:hAnsi="Cambria Math" w:cs="Cambria Math"/>
          <w:highlight w:val="yellow"/>
        </w:rPr>
        <w:t>‑</w:t>
      </w:r>
      <w:r w:rsidRPr="00891B88">
        <w:rPr>
          <w:rStyle w:val="IntenseReference"/>
          <w:highlight w:val="yellow"/>
        </w:rPr>
        <w:t>specific internal</w:t>
      </w:r>
      <w:r w:rsidR="00891B88">
        <w:rPr>
          <w:rStyle w:val="IntenseReference"/>
          <w:highlight w:val="yellow"/>
        </w:rPr>
        <w:t xml:space="preserve"> Policy and procedures </w:t>
      </w:r>
      <w:r w:rsidR="00FE17F9">
        <w:rPr>
          <w:rStyle w:val="IntenseReference"/>
          <w:highlight w:val="yellow"/>
        </w:rPr>
        <w:t xml:space="preserve">for </w:t>
      </w:r>
      <w:r w:rsidRPr="00891B88">
        <w:rPr>
          <w:rStyle w:val="IntenseReference"/>
          <w:highlight w:val="yellow"/>
        </w:rPr>
        <w:t>submitting applications. (placeholder section)</w:t>
      </w:r>
    </w:p>
    <w:p w14:paraId="3B8B32E0" w14:textId="7ACCEC05" w:rsidR="4F41F7E9" w:rsidRDefault="4F41F7E9" w:rsidP="135D9C30"/>
    <w:p w14:paraId="7010CFE3" w14:textId="77766902" w:rsidR="00B92963" w:rsidRPr="001153A9" w:rsidRDefault="00582FCA" w:rsidP="004A29F2">
      <w:pPr>
        <w:pStyle w:val="Heading2"/>
        <w:rPr>
          <w:rStyle w:val="SubtleEmphasis"/>
        </w:rPr>
      </w:pPr>
      <w:bookmarkStart w:id="4" w:name="_Toc225934247"/>
      <w:r>
        <w:rPr>
          <w:rStyle w:val="SubtleEmphasis"/>
        </w:rPr>
        <w:t>I</w:t>
      </w:r>
      <w:r w:rsidR="009329C2" w:rsidRPr="001153A9">
        <w:rPr>
          <w:rStyle w:val="SubtleEmphasis"/>
        </w:rPr>
        <w:t xml:space="preserve">dentifying </w:t>
      </w:r>
      <w:r w:rsidR="6788923A" w:rsidRPr="001153A9">
        <w:rPr>
          <w:rStyle w:val="SubtleEmphasis"/>
        </w:rPr>
        <w:t>Funding Opportunit</w:t>
      </w:r>
      <w:r w:rsidR="009329C2" w:rsidRPr="001153A9">
        <w:rPr>
          <w:rStyle w:val="SubtleEmphasis"/>
        </w:rPr>
        <w:t>ies</w:t>
      </w:r>
      <w:bookmarkEnd w:id="4"/>
    </w:p>
    <w:p w14:paraId="036B8672" w14:textId="77777777" w:rsidR="006364F1" w:rsidRDefault="006364F1" w:rsidP="00750AD3"/>
    <w:p w14:paraId="1AA13717" w14:textId="3B8CF061" w:rsidR="00C36675" w:rsidRDefault="00E21904" w:rsidP="00750AD3">
      <w:r>
        <w:t xml:space="preserve">Identifying funding opportunities is the first step in the grant lifecycle and involves actively monitoring and assessing potential sources of funding that align with an agency’s mission, statutory authority, and program priorities. Funding opportunities may come from various sources, including federal Notices of Funding Opportunity (NOFOs), Assistance Listings published on SAM.gov, federal agency guidance, state legislative appropriations, capital outlay language, special appropriations, interagency transfers, and private foundations or philanthropic organizations. Agencies should establish processes to regularly review and evaluate these opportunities to determine eligibility, funding requirements, timelines, and how well they match program goals. Detecting funding opportunities early allows agencies to plan strategically, coordinate with leadership and stakeholders, and ensure preparedness to pursue funding that supports program outcomes and legislative intent. </w:t>
      </w:r>
    </w:p>
    <w:p w14:paraId="7E8714F0" w14:textId="77777777" w:rsidR="00963C43" w:rsidRDefault="00963C43" w:rsidP="00963C43">
      <w:pPr>
        <w:ind w:left="360"/>
      </w:pPr>
    </w:p>
    <w:p w14:paraId="753B96F8" w14:textId="06D28E0C" w:rsidR="00A740AD" w:rsidRDefault="2DAFD70A" w:rsidP="135D9C30">
      <w:pPr>
        <w:rPr>
          <w:rStyle w:val="IntenseReference"/>
          <w:highlight w:val="yellow"/>
        </w:rPr>
      </w:pPr>
      <w:r w:rsidRPr="001A746A">
        <w:rPr>
          <w:rStyle w:val="IntenseReference"/>
          <w:highlight w:val="yellow"/>
        </w:rPr>
        <w:t>Agency</w:t>
      </w:r>
      <w:r w:rsidRPr="001A746A">
        <w:rPr>
          <w:rStyle w:val="IntenseReference"/>
          <w:rFonts w:ascii="Cambria Math" w:hAnsi="Cambria Math" w:cs="Cambria Math"/>
          <w:highlight w:val="yellow"/>
        </w:rPr>
        <w:t>‑</w:t>
      </w:r>
      <w:r w:rsidRPr="001A746A">
        <w:rPr>
          <w:rStyle w:val="IntenseReference"/>
          <w:highlight w:val="yellow"/>
        </w:rPr>
        <w:t xml:space="preserve">specific procedures for </w:t>
      </w:r>
      <w:r w:rsidR="009329C2">
        <w:rPr>
          <w:rStyle w:val="IntenseReference"/>
          <w:highlight w:val="yellow"/>
        </w:rPr>
        <w:t xml:space="preserve">identifying and </w:t>
      </w:r>
      <w:r w:rsidRPr="001A746A">
        <w:rPr>
          <w:rStyle w:val="IntenseReference"/>
          <w:highlight w:val="yellow"/>
        </w:rPr>
        <w:t>tracking funding opportunities</w:t>
      </w:r>
      <w:r w:rsidR="00A86BC9">
        <w:rPr>
          <w:rStyle w:val="IntenseReference"/>
          <w:highlight w:val="yellow"/>
        </w:rPr>
        <w:t xml:space="preserve"> and conflicts of interest policy</w:t>
      </w:r>
      <w:r w:rsidRPr="001A746A">
        <w:rPr>
          <w:rStyle w:val="IntenseReference"/>
          <w:highlight w:val="yellow"/>
        </w:rPr>
        <w:t>. (placeholder section)</w:t>
      </w:r>
    </w:p>
    <w:p w14:paraId="4C869A6E" w14:textId="77777777" w:rsidR="0016713D" w:rsidRDefault="0016713D" w:rsidP="135D9C30">
      <w:pPr>
        <w:rPr>
          <w:rStyle w:val="IntenseReference"/>
          <w:highlight w:val="yellow"/>
        </w:rPr>
      </w:pPr>
    </w:p>
    <w:p w14:paraId="3B74B0A1" w14:textId="51897F19" w:rsidR="00894EC0" w:rsidRPr="00582FCA" w:rsidRDefault="00894EC0" w:rsidP="004A29F2">
      <w:pPr>
        <w:pStyle w:val="Heading2"/>
        <w:rPr>
          <w:rStyle w:val="SubtleEmphasis"/>
        </w:rPr>
      </w:pPr>
      <w:bookmarkStart w:id="5" w:name="_Toc225934248"/>
      <w:r w:rsidRPr="00582FCA">
        <w:rPr>
          <w:rStyle w:val="SubtleEmphasis"/>
        </w:rPr>
        <w:t>Types of federal funding</w:t>
      </w:r>
      <w:bookmarkEnd w:id="5"/>
    </w:p>
    <w:p w14:paraId="515E34D9" w14:textId="77777777" w:rsidR="00E21904" w:rsidRDefault="00E21904" w:rsidP="00C25D69">
      <w:pPr>
        <w:rPr>
          <w:u w:val="single"/>
        </w:rPr>
      </w:pPr>
    </w:p>
    <w:p w14:paraId="2B1A22D0" w14:textId="1537C98B" w:rsidR="008E6A61" w:rsidRDefault="008E6A61" w:rsidP="007B2358">
      <w:pPr>
        <w:jc w:val="both"/>
        <w:rPr>
          <w:u w:val="single"/>
        </w:rPr>
      </w:pPr>
      <w:r>
        <w:rPr>
          <w:u w:val="single"/>
        </w:rPr>
        <w:t>Block Grant</w:t>
      </w:r>
    </w:p>
    <w:p w14:paraId="6BB69A30" w14:textId="0A365031" w:rsidR="008E6A61" w:rsidRPr="008E6A61" w:rsidRDefault="00437FA2" w:rsidP="007B2358">
      <w:pPr>
        <w:jc w:val="both"/>
      </w:pPr>
      <w:r>
        <w:t>Block grants are a major type of federal aid that combine several specific programs into flexible funding sources. They typically merge multiple categorical programs into federal payments to state or local governments for broad purposes like health, education, or law enforcement. The funds must be used for programs within those general areas, but the decision on how to spend them rests with state or local officials.</w:t>
      </w:r>
    </w:p>
    <w:p w14:paraId="1EB67EB2" w14:textId="77777777" w:rsidR="008E6A61" w:rsidRDefault="008E6A61" w:rsidP="007B2358">
      <w:pPr>
        <w:jc w:val="both"/>
        <w:rPr>
          <w:u w:val="single"/>
        </w:rPr>
      </w:pPr>
    </w:p>
    <w:p w14:paraId="5435583D" w14:textId="2E80CC69" w:rsidR="00E37AF4" w:rsidRPr="00E37AF4" w:rsidRDefault="00E37AF4" w:rsidP="007B2358">
      <w:pPr>
        <w:jc w:val="both"/>
        <w:rPr>
          <w:u w:val="single"/>
        </w:rPr>
      </w:pPr>
      <w:r w:rsidRPr="00E37AF4">
        <w:rPr>
          <w:u w:val="single"/>
        </w:rPr>
        <w:t>Categorical Grant</w:t>
      </w:r>
    </w:p>
    <w:p w14:paraId="5D41F38D" w14:textId="526BFB87" w:rsidR="00E37AF4" w:rsidRPr="00E37AF4" w:rsidRDefault="00437FA2" w:rsidP="007B2358">
      <w:pPr>
        <w:jc w:val="both"/>
      </w:pPr>
      <w:r>
        <w:t xml:space="preserve">Categorical grants provide federal funding for specific, narrowly defined purposes with detailed federal requirements and oversight. They are targeted towards public or private agencies for research, statistics, discretionary activities, technical assistance, special emphasis projects, training, concentration of Federal effort, or other direct Federal aid in the form of grants. These grants are distinguishable by their specificity and the federal government's significant role in setting program parameters. For example, Medicaid functions as a categorical grant program where states receive federal matching funds to offer medical assistance to eligible populations, but they must adhere to detailed federal requirements concerning eligibility, benefits, and program management. </w:t>
      </w:r>
    </w:p>
    <w:p w14:paraId="18BDFB04" w14:textId="77777777" w:rsidR="00E37AF4" w:rsidRPr="00E37AF4" w:rsidRDefault="00E37AF4" w:rsidP="00C25D69"/>
    <w:p w14:paraId="44F51B0E" w14:textId="574622E4" w:rsidR="00C25D69" w:rsidRPr="00C25D69" w:rsidRDefault="00C25D69" w:rsidP="00C25D69">
      <w:pPr>
        <w:rPr>
          <w:u w:val="single"/>
        </w:rPr>
      </w:pPr>
      <w:r w:rsidRPr="00C25D69">
        <w:rPr>
          <w:u w:val="single"/>
        </w:rPr>
        <w:t>Formula Grant</w:t>
      </w:r>
    </w:p>
    <w:p w14:paraId="79A1CF99" w14:textId="676CC736" w:rsidR="00DC1391" w:rsidRDefault="00437FA2" w:rsidP="006E2863">
      <w:pPr>
        <w:jc w:val="both"/>
      </w:pPr>
      <w:r>
        <w:t xml:space="preserve">Formula grants distribute federal funds to eligible recipients based on predetermined statutory formulas that use objective data or statistical estimates. "Formula" means "any prescribed method employing objective data or statistical estimates for making individual determinations among recipients of Federal funds, either in terms of eligibility or actual funding allocations, that can be written in the form of either-- (A) a closed mathematical statement; or (B) an iterative procedure or algorithm which can be written as a computer program; and from which the results can be objectively replicated, within reasonable limits due to rounding error, through independent application of such statement, procedures, or algorithm, by different qualified individuals. Formula grants provide predictable funding streams because allocation amounts are determined by statutory formulas rather than competitive processes or agency discretion. Many block grants operate through formula mechanisms, such as the Community Development Block Grant program, which uses formulas based on factors like population, housing conditions, and poverty levels to determine allocations to metropolitan cities and urban counties. </w:t>
      </w:r>
    </w:p>
    <w:p w14:paraId="0CA21AE4" w14:textId="77777777" w:rsidR="004260DB" w:rsidRDefault="004260DB" w:rsidP="00C25D69">
      <w:pPr>
        <w:rPr>
          <w:u w:val="single"/>
        </w:rPr>
      </w:pPr>
    </w:p>
    <w:p w14:paraId="45325D82" w14:textId="77777777" w:rsidR="002E6173" w:rsidRPr="002E6173" w:rsidRDefault="002E6173" w:rsidP="002E6173">
      <w:pPr>
        <w:rPr>
          <w:u w:val="single"/>
        </w:rPr>
      </w:pPr>
      <w:r w:rsidRPr="002E6173">
        <w:rPr>
          <w:u w:val="single"/>
        </w:rPr>
        <w:t>Project and Competitive Grants</w:t>
      </w:r>
    </w:p>
    <w:p w14:paraId="06626043" w14:textId="2584333F" w:rsidR="00C25D69" w:rsidRDefault="00C0380F" w:rsidP="00FF6201">
      <w:pPr>
        <w:jc w:val="both"/>
      </w:pPr>
      <w:r>
        <w:t>Project grants and competitive grants are merit-based funding methods in which federal agencies distribute funds through competitive processes to support particular research, demonstration, or service initiatives.</w:t>
      </w:r>
      <w:r w:rsidR="005A171A">
        <w:t xml:space="preserve"> </w:t>
      </w:r>
      <w:r>
        <w:t>The law stipulates that grant recipients must satisfy specific eligibility requirements</w:t>
      </w:r>
      <w:r w:rsidR="008E0627">
        <w:t xml:space="preserve">, and applications are subject to the </w:t>
      </w:r>
      <w:r>
        <w:t>agency's merit-based competitive process.</w:t>
      </w:r>
    </w:p>
    <w:p w14:paraId="3C612AEC" w14:textId="77777777" w:rsidR="002E6173" w:rsidRPr="002E6173" w:rsidRDefault="002E6173" w:rsidP="002E6173"/>
    <w:p w14:paraId="38366D49" w14:textId="1743F9D1" w:rsidR="00C25D69" w:rsidRPr="00C25D69" w:rsidRDefault="00C25D69" w:rsidP="00C25D69">
      <w:pPr>
        <w:rPr>
          <w:u w:val="single"/>
        </w:rPr>
      </w:pPr>
      <w:r w:rsidRPr="00C25D69">
        <w:rPr>
          <w:u w:val="single"/>
        </w:rPr>
        <w:t>Direct Payments for Specified Use</w:t>
      </w:r>
      <w:r w:rsidR="008E4E0D">
        <w:rPr>
          <w:u w:val="single"/>
        </w:rPr>
        <w:t xml:space="preserve"> and With Unrestricted </w:t>
      </w:r>
      <w:r w:rsidR="00CB6FA1">
        <w:rPr>
          <w:u w:val="single"/>
        </w:rPr>
        <w:t>Use</w:t>
      </w:r>
    </w:p>
    <w:p w14:paraId="1B0B5EA4" w14:textId="40E81045" w:rsidR="00C25D69" w:rsidRDefault="008E4E0D" w:rsidP="00C25D69">
      <w:r>
        <w:t>These payments provide financial assistance directly to individuals, private companies, and other organizations to encourage or support particular activities. Typically, this funding depends on the recipient meeting certain performance conditions. Examples include tax credits, rent payments, and scholarships.</w:t>
      </w:r>
    </w:p>
    <w:p w14:paraId="1E3A7A3E" w14:textId="0427ACCB" w:rsidR="00C25D69" w:rsidRPr="00C25D69" w:rsidRDefault="00C25D69" w:rsidP="00C25D69">
      <w:pPr>
        <w:rPr>
          <w:u w:val="single"/>
        </w:rPr>
      </w:pPr>
    </w:p>
    <w:p w14:paraId="67762BA1" w14:textId="1B9AFD2D" w:rsidR="00894EC0" w:rsidRDefault="008E4E0D" w:rsidP="00C25D69">
      <w:r>
        <w:t>Direct payments or unrestricted use funding offer direct financial support to beneficiaries who meet eligibility criteria and do not face restrictions on how the funds are spent. Examples of this support include retirement, pension payments, and compensatory programs. Funding sources include: State and Local Fiscal Recovery Funds (SLFRF), Local Assistance and Tribal Consistency Fund (LATCF), and Secure Rural Schools Title I Payments.</w:t>
      </w:r>
    </w:p>
    <w:p w14:paraId="64BAACD9" w14:textId="77777777" w:rsidR="00703A66" w:rsidRDefault="00703A66" w:rsidP="00C25D69"/>
    <w:p w14:paraId="4E4B90D5" w14:textId="77777777" w:rsidR="00703A66" w:rsidRPr="001A746A" w:rsidRDefault="00703A66" w:rsidP="00C25D69">
      <w:pPr>
        <w:rPr>
          <w:rStyle w:val="IntenseReference"/>
          <w:highlight w:val="yellow"/>
        </w:rPr>
      </w:pPr>
    </w:p>
    <w:p w14:paraId="3E2831FA" w14:textId="539D8ADC" w:rsidR="00A740AD" w:rsidRPr="000F1BF6" w:rsidRDefault="00DC0E49" w:rsidP="00703A66">
      <w:pPr>
        <w:widowControl/>
        <w:autoSpaceDE/>
        <w:autoSpaceDN/>
        <w:ind w:left="300"/>
      </w:pPr>
      <w:r w:rsidRPr="00DC0E49">
        <w:rPr>
          <w:noProof/>
        </w:rPr>
        <w:lastRenderedPageBreak/>
        <w:drawing>
          <wp:inline distT="0" distB="0" distL="0" distR="0" wp14:anchorId="202E9008" wp14:editId="2F597EB9">
            <wp:extent cx="6556974" cy="5173980"/>
            <wp:effectExtent l="0" t="0" r="0" b="7620"/>
            <wp:docPr id="5667892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59160" cy="5175705"/>
                    </a:xfrm>
                    <a:prstGeom prst="rect">
                      <a:avLst/>
                    </a:prstGeom>
                    <a:noFill/>
                    <a:ln>
                      <a:noFill/>
                    </a:ln>
                  </pic:spPr>
                </pic:pic>
              </a:graphicData>
            </a:graphic>
          </wp:inline>
        </w:drawing>
      </w:r>
    </w:p>
    <w:p w14:paraId="7B6EECFE" w14:textId="15951C4E" w:rsidR="00B92963" w:rsidRPr="001168DE" w:rsidRDefault="00B92963" w:rsidP="006906B5">
      <w:pPr>
        <w:pStyle w:val="Heading2"/>
      </w:pPr>
      <w:bookmarkStart w:id="6" w:name="_Toc225934249"/>
      <w:r w:rsidRPr="001168DE">
        <w:t>APPLICATION DEVELOPMENT</w:t>
      </w:r>
      <w:bookmarkEnd w:id="6"/>
    </w:p>
    <w:p w14:paraId="1DFAFB93" w14:textId="6F03063D" w:rsidR="008E3484" w:rsidRDefault="00CB6FA1" w:rsidP="00DC7785">
      <w:r>
        <w:t xml:space="preserve">Applications should provide a clear and complete description of the proposed program. This includes outlining the program’s goals and identifying the target population or intended beneficiaries. The application should also describe the expected outcomes and specific deliverables resulting from the program’s implementation. Additionally, applicants must include a detailed implementation timeline showing how activities will be carried out over the course of the project. A comprehensive budget, along with a clear cost justification, should explain how funds will be allocated and why each expense is necessary. Gather demographics, statistics, reports, and letters to support the project. Address all relevant compliance requirements to ensure the program adheres to applicable regulations and standards. Review and understand the scoring criteria and evaluation </w:t>
      </w:r>
      <w:r w:rsidR="00817749">
        <w:t>process and</w:t>
      </w:r>
      <w:r>
        <w:t xml:space="preserve"> use these criteria to guide which parts of the application to emphasize. </w:t>
      </w:r>
    </w:p>
    <w:p w14:paraId="3D9A36CD" w14:textId="77777777" w:rsidR="008E3484" w:rsidRDefault="008E3484" w:rsidP="00614150">
      <w:pPr>
        <w:pStyle w:val="Heading3"/>
      </w:pPr>
    </w:p>
    <w:p w14:paraId="7048B98E" w14:textId="40920A19" w:rsidR="00B92963" w:rsidRDefault="00B92963" w:rsidP="00614150">
      <w:pPr>
        <w:pStyle w:val="Heading3"/>
      </w:pPr>
      <w:bookmarkStart w:id="7" w:name="_Toc225934250"/>
      <w:r w:rsidRPr="001168DE">
        <w:t>Program Design</w:t>
      </w:r>
      <w:bookmarkEnd w:id="7"/>
    </w:p>
    <w:p w14:paraId="72926114" w14:textId="77777777" w:rsidR="00CB6FA1" w:rsidRPr="00CB6FA1" w:rsidRDefault="00CB6FA1" w:rsidP="00CB6FA1"/>
    <w:p w14:paraId="5EAB7AAA" w14:textId="131E3806" w:rsidR="00A740AD" w:rsidRDefault="00CB6FA1" w:rsidP="00CB6FA1">
      <w:pPr>
        <w:widowControl/>
        <w:autoSpaceDE/>
        <w:autoSpaceDN/>
      </w:pPr>
      <w:r>
        <w:t xml:space="preserve">Program plans should include a clear and detailed outline of how the proposed project will be executed. This includes setting well-defined objectives and identifying measurable performance indicators to evaluate progress and effectiveness. Plans should also describe the activities to be carried out, ensuring they are either evidence-based or authorized by law. Additionally, the program plan must specify the deliverables and key milestones </w:t>
      </w:r>
      <w:r>
        <w:lastRenderedPageBreak/>
        <w:t>that will indicate progress throughout the project. Applicants should provide a realistic implementation timeline showing when major activities and milestones are expected to occur. Finally, the plan should outline a staffing structure that explains how personnel will be assigned and managed to ensure successful project completion.</w:t>
      </w:r>
    </w:p>
    <w:p w14:paraId="206F6D53" w14:textId="77777777" w:rsidR="00991D04" w:rsidRPr="000F1BF6" w:rsidRDefault="00991D04" w:rsidP="00A740AD">
      <w:pPr>
        <w:widowControl/>
        <w:autoSpaceDE/>
        <w:autoSpaceDN/>
        <w:ind w:left="720"/>
      </w:pPr>
    </w:p>
    <w:p w14:paraId="0B65248F" w14:textId="06B3CFB4" w:rsidR="00B92963" w:rsidRPr="00EC396B" w:rsidRDefault="00B92963" w:rsidP="00A740AD">
      <w:pPr>
        <w:rPr>
          <w:rStyle w:val="SubtleEmphasis"/>
        </w:rPr>
      </w:pPr>
      <w:r w:rsidRPr="00EC396B">
        <w:rPr>
          <w:rStyle w:val="SubtleEmphasis"/>
        </w:rPr>
        <w:t>Federal performance requirements are governed by §200.301.</w:t>
      </w:r>
      <w:r w:rsidR="00DA7AE1">
        <w:rPr>
          <w:rStyle w:val="SubtleEmphasis"/>
        </w:rPr>
        <w:t xml:space="preserve"> </w:t>
      </w:r>
      <w:r w:rsidRPr="00EC396B">
        <w:rPr>
          <w:rStyle w:val="SubtleEmphasis"/>
        </w:rPr>
        <w:t>State-funded programs must align with legislative performance measures and budget authority.</w:t>
      </w:r>
    </w:p>
    <w:p w14:paraId="5526AD6B" w14:textId="77777777" w:rsidR="00DA7AE1" w:rsidRDefault="00DA7AE1" w:rsidP="00614150">
      <w:pPr>
        <w:pStyle w:val="Heading3"/>
      </w:pPr>
    </w:p>
    <w:p w14:paraId="423839D9" w14:textId="2A27D517" w:rsidR="00B92963" w:rsidRPr="001168DE" w:rsidRDefault="00B92963" w:rsidP="00614150">
      <w:pPr>
        <w:pStyle w:val="Heading3"/>
        <w:rPr>
          <w:rStyle w:val="SubtleEmphasis"/>
          <w:b/>
          <w:sz w:val="28"/>
          <w:szCs w:val="28"/>
        </w:rPr>
      </w:pPr>
      <w:bookmarkStart w:id="8" w:name="_Toc225934251"/>
      <w:r w:rsidRPr="001168DE">
        <w:t>Budget Development</w:t>
      </w:r>
      <w:bookmarkEnd w:id="8"/>
    </w:p>
    <w:p w14:paraId="5FE9AD51" w14:textId="77777777" w:rsidR="00CB6FA1" w:rsidRDefault="00CB6FA1" w:rsidP="00CB6FA1"/>
    <w:p w14:paraId="54F0C8C9" w14:textId="2F83E1D0" w:rsidR="00685F36" w:rsidRDefault="007316F2" w:rsidP="00862E4B">
      <w:pPr>
        <w:jc w:val="both"/>
      </w:pPr>
      <w:r>
        <w:t xml:space="preserve">Grant budgets must adhere to applicable federal cost principles and state financial management requirements. All proposed costs should be necessary for the successful project implementation, reasonable relative to market value and project scope, allocable to grant activities, and consistently applied according to the organization’s established accounting practices. Additionally, </w:t>
      </w:r>
      <w:r w:rsidRPr="006C76B8">
        <w:rPr>
          <w:b/>
        </w:rPr>
        <w:t>all expenditures must be made within the approved period of performance specified in the grant agreement.</w:t>
      </w:r>
    </w:p>
    <w:p w14:paraId="34539FD0" w14:textId="77777777" w:rsidR="00CB6FA1" w:rsidRDefault="00CB6FA1" w:rsidP="00862E4B">
      <w:pPr>
        <w:jc w:val="both"/>
      </w:pPr>
    </w:p>
    <w:p w14:paraId="0726AB68" w14:textId="32484477" w:rsidR="00685F36" w:rsidRDefault="007316F2" w:rsidP="00862E4B">
      <w:pPr>
        <w:jc w:val="both"/>
      </w:pPr>
      <w:r>
        <w:t>A well-developed grant budget should clearly show how financial resources support the program's objectives and activities. Budget line items need to align directly with the proposed work plan, deliverables, and implementation schedule. Each cost category should include a detailed budget justification explaining the purpose of each expense, how the amount was determined, and how it helps achieve the program’s intended outcomes.</w:t>
      </w:r>
    </w:p>
    <w:p w14:paraId="718A7B23" w14:textId="77777777" w:rsidR="00CB6FA1" w:rsidRDefault="00CB6FA1" w:rsidP="00862E4B">
      <w:pPr>
        <w:jc w:val="both"/>
      </w:pPr>
    </w:p>
    <w:p w14:paraId="68A2DD0E" w14:textId="745EB2CE" w:rsidR="00685F36" w:rsidRDefault="00862E4B" w:rsidP="00862E4B">
      <w:pPr>
        <w:jc w:val="both"/>
      </w:pPr>
      <w:r>
        <w:t xml:space="preserve">Grant writers must also ensure that budgets comply with applicable state financial coding and reporting requirements. Budget categories and expenditures should align with the SHARE chart of accounts, and the 2.2.2 NMAC expenditure </w:t>
      </w:r>
      <w:r w:rsidR="00925093">
        <w:t>categories</w:t>
      </w:r>
      <w:r>
        <w:t xml:space="preserve"> that govern state financial transactions. Additionally, all proposed costs must be consistent with the appropriation language authorizing the funding to ensure expenditures are legally permissible and align with legislative intent.</w:t>
      </w:r>
    </w:p>
    <w:p w14:paraId="4B075F4A" w14:textId="77777777" w:rsidR="00CB6FA1" w:rsidRDefault="00CB6FA1" w:rsidP="00862E4B">
      <w:pPr>
        <w:jc w:val="both"/>
      </w:pPr>
    </w:p>
    <w:p w14:paraId="74DF87BA" w14:textId="4C117F6A" w:rsidR="00685F36" w:rsidRDefault="00862E4B" w:rsidP="00862E4B">
      <w:pPr>
        <w:jc w:val="both"/>
      </w:pPr>
      <w:r>
        <w:t xml:space="preserve">Applicants should also consider the administrative and operational resources needed to manage the grant effectively. </w:t>
      </w:r>
      <w:r w:rsidR="00CE007D">
        <w:t>This includes</w:t>
      </w:r>
      <w:r>
        <w:t xml:space="preserve"> sufficient funding for grant management and administrative oversight, whether these tasks will be performed by existing agency staff or through contracted grant management services. Proper grant administration ensures compliance with reporting requirements, fiscal monitoring, and tracking program performance throughout the award’s duration.</w:t>
      </w:r>
    </w:p>
    <w:p w14:paraId="3E66CF59" w14:textId="77777777" w:rsidR="00CB6FA1" w:rsidRDefault="00CB6FA1" w:rsidP="00862E4B">
      <w:pPr>
        <w:jc w:val="both"/>
      </w:pPr>
    </w:p>
    <w:p w14:paraId="092D6F03" w14:textId="7385DD78" w:rsidR="00685F36" w:rsidRDefault="00862E4B" w:rsidP="00862E4B">
      <w:pPr>
        <w:jc w:val="both"/>
      </w:pPr>
      <w:r>
        <w:t>Budget planning should also include indirect costs, which are shared organizational expenses supporting program implementation but cannot be directly linked to a single project. Applicants should use their federally negotiated indirect cost rate if available or follow relevant guidelines for the de minimis indirect cost rate or other approved methods.</w:t>
      </w:r>
    </w:p>
    <w:p w14:paraId="2F088C39" w14:textId="77777777" w:rsidR="00CB6FA1" w:rsidRDefault="00CB6FA1" w:rsidP="00862E4B">
      <w:pPr>
        <w:jc w:val="both"/>
      </w:pPr>
    </w:p>
    <w:p w14:paraId="745D7EFF" w14:textId="55182022" w:rsidR="00F70305" w:rsidRDefault="00862E4B" w:rsidP="00862E4B">
      <w:pPr>
        <w:jc w:val="both"/>
      </w:pPr>
      <w:r>
        <w:t>Additional considerations for budget development include making sure personnel costs match the effort needed for project activities, checking that equipment, contractual services, and other direct costs are allowed under the grant, and ensuring adherence to procurement, financial management, and reporting standards. A well-organized and compliant budget boosts the application's credibility and helps ensure good financial management throughout the grant period.</w:t>
      </w:r>
    </w:p>
    <w:p w14:paraId="5A5C0D98" w14:textId="77777777" w:rsidR="00CA7D66" w:rsidRDefault="00CA7D66" w:rsidP="00614150">
      <w:pPr>
        <w:pStyle w:val="Heading3"/>
      </w:pPr>
    </w:p>
    <w:p w14:paraId="62CA5616" w14:textId="6C56D5FC" w:rsidR="00CA7D66" w:rsidRDefault="00CA7D66" w:rsidP="00614150">
      <w:pPr>
        <w:pStyle w:val="Heading3"/>
      </w:pPr>
      <w:bookmarkStart w:id="9" w:name="_Toc225934252"/>
      <w:r>
        <w:t>Indirect Cost</w:t>
      </w:r>
      <w:bookmarkEnd w:id="9"/>
    </w:p>
    <w:p w14:paraId="2DE66ECB" w14:textId="77777777" w:rsidR="003B4D81" w:rsidRDefault="003B4D81" w:rsidP="003B4D81"/>
    <w:p w14:paraId="41E40590" w14:textId="72C0FEE4" w:rsidR="00CA7D66" w:rsidRDefault="00E6498D" w:rsidP="003B4D81">
      <w:r>
        <w:t xml:space="preserve">There are two ways to allocate expenditures to a grant: as a direct cost or an indirect cost (IDC). An IDC is charged using an indirect cost rate, which must be established. According to 2 CFR 200.412, there is no universal rule for classifying specific costs as either direct or indirect. Note that rules for different non-federal entities vary </w:t>
      </w:r>
      <w:r>
        <w:lastRenderedPageBreak/>
        <w:t>and should be checked within 2 CFR 200 appendices. The guidelines referenced in this manual align with 2 CFR 200 Appendices V, VI, and VII for state and local governments.</w:t>
      </w:r>
    </w:p>
    <w:p w14:paraId="20FE51E7" w14:textId="20E70E8C" w:rsidR="003B4D81" w:rsidRDefault="003B4D81" w:rsidP="003B4D81"/>
    <w:p w14:paraId="0A1A2A79" w14:textId="2E4DC668" w:rsidR="002068A5" w:rsidRPr="00CA7D66" w:rsidRDefault="00762621" w:rsidP="003B4D81">
      <w:r>
        <w:rPr>
          <w:noProof/>
        </w:rPr>
        <mc:AlternateContent>
          <mc:Choice Requires="wps">
            <w:drawing>
              <wp:anchor distT="0" distB="0" distL="114300" distR="114300" simplePos="0" relativeHeight="251658253" behindDoc="0" locked="0" layoutInCell="1" allowOverlap="1" wp14:anchorId="14736DAC" wp14:editId="1874DAA7">
                <wp:simplePos x="0" y="0"/>
                <wp:positionH relativeFrom="column">
                  <wp:posOffset>0</wp:posOffset>
                </wp:positionH>
                <wp:positionV relativeFrom="paragraph">
                  <wp:posOffset>840740</wp:posOffset>
                </wp:positionV>
                <wp:extent cx="6400800" cy="437515"/>
                <wp:effectExtent l="0" t="0" r="19050" b="15875"/>
                <wp:wrapThrough wrapText="bothSides">
                  <wp:wrapPolygon edited="0">
                    <wp:start x="0" y="0"/>
                    <wp:lineTo x="0" y="21445"/>
                    <wp:lineTo x="21600" y="21445"/>
                    <wp:lineTo x="21600" y="0"/>
                    <wp:lineTo x="0" y="0"/>
                  </wp:wrapPolygon>
                </wp:wrapThrough>
                <wp:docPr id="119371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37515"/>
                        </a:xfrm>
                        <a:prstGeom prst="rect">
                          <a:avLst/>
                        </a:prstGeom>
                        <a:solidFill>
                          <a:srgbClr val="FFFFFF"/>
                        </a:solidFill>
                        <a:ln w="9525">
                          <a:solidFill>
                            <a:srgbClr val="004D4C"/>
                          </a:solidFill>
                          <a:miter lim="800000"/>
                          <a:headEnd/>
                          <a:tailEnd/>
                        </a:ln>
                      </wps:spPr>
                      <wps:txbx>
                        <w:txbxContent>
                          <w:p w14:paraId="14D46F64" w14:textId="77777777" w:rsidR="00062A5F" w:rsidRPr="00762621" w:rsidRDefault="00062A5F" w:rsidP="00762621">
                            <w:pPr>
                              <w:jc w:val="center"/>
                              <w:rPr>
                                <w:color w:val="004D4C"/>
                              </w:rPr>
                            </w:pPr>
                            <w:r w:rsidRPr="00762621">
                              <w:rPr>
                                <w:color w:val="004D4C"/>
                              </w:rPr>
                              <w:t xml:space="preserve">TIP: Use the </w:t>
                            </w:r>
                            <w:hyperlink r:id="rId16" w:history="1">
                              <w:r w:rsidRPr="00762621">
                                <w:rPr>
                                  <w:color w:val="004D4C"/>
                                </w:rPr>
                                <w:t>Modified Total Direct Cost - Indirect Cost Worksheet Rev 2026.01.14</w:t>
                              </w:r>
                            </w:hyperlink>
                            <w:r w:rsidRPr="00762621">
                              <w:rPr>
                                <w:color w:val="004D4C"/>
                              </w:rPr>
                              <w:t xml:space="preserve"> to calculate indirect cost amounts on allowable direct costs.</w:t>
                            </w:r>
                          </w:p>
                        </w:txbxContent>
                      </wps:txbx>
                      <wps:bodyPr rot="0" vert="horz" wrap="square" lIns="91440" tIns="45720" rIns="91440" bIns="45720" anchor="t" anchorCtr="0">
                        <a:spAutoFit/>
                      </wps:bodyPr>
                    </wps:wsp>
                  </a:graphicData>
                </a:graphic>
              </wp:anchor>
            </w:drawing>
          </mc:Choice>
          <mc:Fallback>
            <w:pict>
              <v:shape w14:anchorId="14736DAC" id="_x0000_s1027" type="#_x0000_t202" style="position:absolute;margin-left:0;margin-top:66.2pt;width:7in;height:34.4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" strokecolor="#004d4c">
                <v:textbox style="mso-fit-shape-to-text:t">
                  <w:txbxContent>
                    <w:p w14:paraId="14D46F64" w14:textId="77777777" w:rsidR="00062A5F" w:rsidRPr="00762621" w:rsidRDefault="00062A5F" w:rsidP="00762621">
                      <w:pPr>
                        <w:jc w:val="center"/>
                        <w:rPr>
                          <w:color w:val="004D4C"/>
                        </w:rPr>
                      </w:pPr>
                      <w:r w:rsidRPr="00762621">
                        <w:rPr>
                          <w:color w:val="004D4C"/>
                        </w:rPr>
                        <w:t xml:space="preserve">TIP: Use the </w:t>
                      </w:r>
                      <w:hyperlink r:id="rId17" w:history="1">
                        <w:r w:rsidRPr="00762621">
                          <w:rPr>
                            <w:color w:val="004D4C"/>
                          </w:rPr>
                          <w:t>Modified Total Direct Cost - Indirect Cost Worksheet Rev 2026.01.14</w:t>
                        </w:r>
                      </w:hyperlink>
                      <w:r w:rsidRPr="00762621">
                        <w:rPr>
                          <w:color w:val="004D4C"/>
                        </w:rPr>
                        <w:t xml:space="preserve"> to calculate indirect cost amounts on allowable direct costs.</w:t>
                      </w:r>
                    </w:p>
                  </w:txbxContent>
                </v:textbox>
                <w10:wrap type="through"/>
              </v:shape>
            </w:pict>
          </mc:Fallback>
        </mc:AlternateContent>
      </w:r>
      <w:r w:rsidR="00E6498D">
        <w:t xml:space="preserve">An indirect cost rate is established through a federally approved indirect cost rate proposal and supporting documentation submitted by a state agency. Uniform Guidance (UG) allows any non-federal entity that has not yet received a negotiated indirect cost rate to choose to charge a de minimis rate of 15 percent of modified total direct costs (MTDC), which can be used indefinitely. </w:t>
      </w:r>
    </w:p>
    <w:p w14:paraId="201D00A5" w14:textId="763A19C7" w:rsidR="00CA7D66" w:rsidRDefault="00CA7D66" w:rsidP="00685F36">
      <w:pPr>
        <w:ind w:left="720"/>
      </w:pPr>
    </w:p>
    <w:p w14:paraId="5475D34E" w14:textId="60A9B8EC" w:rsidR="0091617E" w:rsidRDefault="0091617E" w:rsidP="0091617E">
      <w:pPr>
        <w:pStyle w:val="Heading2"/>
      </w:pPr>
      <w:bookmarkStart w:id="10" w:name="_Toc225934253"/>
      <w:r>
        <w:t>Intergovernmental Review/Single Point of Contact (SPOC) Requirement</w:t>
      </w:r>
      <w:bookmarkEnd w:id="10"/>
    </w:p>
    <w:p w14:paraId="683F4586" w14:textId="77777777" w:rsidR="0017397E" w:rsidRDefault="0017397E" w:rsidP="008504C0"/>
    <w:p w14:paraId="7812983F" w14:textId="675CAAFB" w:rsidR="0091617E" w:rsidRDefault="006D7A56" w:rsidP="00176507">
      <w:pPr>
        <w:jc w:val="both"/>
      </w:pPr>
      <w:r w:rsidRPr="006D7A56">
        <w:t>U.</w:t>
      </w:r>
      <w:r w:rsidR="0017397E">
        <w:t>S. Executive Order 12372 (EO 12372) was issued to promote intergovernmental partnerships and strengthen federalism by relying on state and local processes for coordinating and reviewing proposed federal financial assistance for direct development. This order allows each state to designate an entity to carry out this function. Most federal grant opportunity announcements will mention the states and territories managing this program as the single point of contact (SPOC).</w:t>
      </w:r>
    </w:p>
    <w:p w14:paraId="172A6A75" w14:textId="77777777" w:rsidR="008504C0" w:rsidRDefault="008504C0" w:rsidP="00176507">
      <w:pPr>
        <w:jc w:val="both"/>
      </w:pPr>
    </w:p>
    <w:p w14:paraId="19E641F2" w14:textId="56F88976" w:rsidR="00780F53" w:rsidRDefault="00176507" w:rsidP="00176507">
      <w:pPr>
        <w:jc w:val="both"/>
      </w:pPr>
      <w:r>
        <w:t>The Federal Grants Bureau (FGB) is designated as New Mexico’s single point of contact (SPOC) for compliance with EO 12373. The NM Federal Funds Clearinghouse serves as a central hub for reviewing and managing applications for federal grants that require state-level review. The NM Federal Funds Clearinghouse also facilitates communication between federal agencies, state agencies, and local entities regarding grant-funded projects. Any federal funding opportunities referencing Single Point of Contact, SPOC, EO 12372, or the Intergovernmental Review Process will be reviewed through the NM Federal Funds Clearinghouse. </w:t>
      </w:r>
    </w:p>
    <w:p w14:paraId="496228BB" w14:textId="7DAFD0E2" w:rsidR="00685F36" w:rsidRPr="00F70305" w:rsidRDefault="00762621" w:rsidP="00685F36">
      <w:pPr>
        <w:ind w:left="720"/>
      </w:pPr>
      <w:r w:rsidRPr="00A679AC">
        <w:rPr>
          <w:noProof/>
        </w:rPr>
        <mc:AlternateContent>
          <mc:Choice Requires="wps">
            <w:drawing>
              <wp:anchor distT="45720" distB="45720" distL="114300" distR="114300" simplePos="0" relativeHeight="251658241" behindDoc="1" locked="0" layoutInCell="1" allowOverlap="1" wp14:anchorId="0267B339" wp14:editId="5CED6829">
                <wp:simplePos x="0" y="0"/>
                <wp:positionH relativeFrom="column">
                  <wp:posOffset>0</wp:posOffset>
                </wp:positionH>
                <wp:positionV relativeFrom="paragraph">
                  <wp:posOffset>223520</wp:posOffset>
                </wp:positionV>
                <wp:extent cx="6454775" cy="833755"/>
                <wp:effectExtent l="0" t="0" r="22225" b="15875"/>
                <wp:wrapTopAndBottom/>
                <wp:docPr id="429849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833755"/>
                        </a:xfrm>
                        <a:prstGeom prst="rect">
                          <a:avLst/>
                        </a:prstGeom>
                        <a:solidFill>
                          <a:srgbClr val="FFFFFF"/>
                        </a:solidFill>
                        <a:ln w="9525">
                          <a:solidFill>
                            <a:srgbClr val="004D4C"/>
                          </a:solidFill>
                          <a:miter lim="800000"/>
                          <a:headEnd/>
                          <a:tailEnd/>
                        </a:ln>
                      </wps:spPr>
                      <wps:txbx>
                        <w:txbxContent>
                          <w:p w14:paraId="1AEAF3D5" w14:textId="1AC1C2B1" w:rsidR="00C2051B" w:rsidRPr="00762621" w:rsidRDefault="00C2051B" w:rsidP="00762621">
                            <w:pPr>
                              <w:jc w:val="center"/>
                              <w:rPr>
                                <w:color w:val="004D4C"/>
                              </w:rPr>
                            </w:pPr>
                            <w:r w:rsidRPr="00762621">
                              <w:rPr>
                                <w:color w:val="004D4C"/>
                              </w:rPr>
                              <w:t>TIP: The Federal Grants Bureau will review</w:t>
                            </w:r>
                            <w:r w:rsidR="00F61ADF" w:rsidRPr="00762621">
                              <w:rPr>
                                <w:color w:val="004D4C"/>
                              </w:rPr>
                              <w:t xml:space="preserve"> and provide feedback on any application, including those that are NOT subject to Intergovernmental Review. Submit to FGB well advance of application closing 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67B339" id="_x0000_s1028" type="#_x0000_t202" style="position:absolute;left:0;text-align:left;margin-left:0;margin-top:17.6pt;width:508.25pt;height:65.65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" strokecolor="#004d4c">
                <v:textbox style="mso-fit-shape-to-text:t">
                  <w:txbxContent>
                    <w:p w14:paraId="1AEAF3D5" w14:textId="1AC1C2B1" w:rsidR="00C2051B" w:rsidRPr="00762621" w:rsidRDefault="00C2051B" w:rsidP="00762621">
                      <w:pPr>
                        <w:jc w:val="center"/>
                        <w:rPr>
                          <w:color w:val="004D4C"/>
                        </w:rPr>
                      </w:pPr>
                      <w:r w:rsidRPr="00762621">
                        <w:rPr>
                          <w:color w:val="004D4C"/>
                        </w:rPr>
                        <w:t>TIP: The Federal Grants Bureau will review</w:t>
                      </w:r>
                      <w:r w:rsidR="00F61ADF" w:rsidRPr="00762621">
                        <w:rPr>
                          <w:color w:val="004D4C"/>
                        </w:rPr>
                        <w:t xml:space="preserve"> and provide feedback on any application, including those that are NOT subject to Intergovernmental Review. Submit to FGB well advance of application closing date.</w:t>
                      </w:r>
                    </w:p>
                  </w:txbxContent>
                </v:textbox>
                <w10:wrap type="topAndBottom"/>
              </v:shape>
            </w:pict>
          </mc:Fallback>
        </mc:AlternateContent>
      </w:r>
    </w:p>
    <w:p w14:paraId="5D99F13F" w14:textId="503433B0" w:rsidR="00685269" w:rsidRDefault="00685269" w:rsidP="006564B3">
      <w:pPr>
        <w:rPr>
          <w:rStyle w:val="SubtleEmphasis"/>
        </w:rPr>
      </w:pPr>
    </w:p>
    <w:p w14:paraId="1C478E0F" w14:textId="77777777" w:rsidR="00A740AD" w:rsidRPr="000F1BF6" w:rsidRDefault="00A740AD" w:rsidP="00A740AD">
      <w:pPr>
        <w:widowControl/>
        <w:autoSpaceDE/>
        <w:autoSpaceDN/>
        <w:ind w:left="720"/>
      </w:pPr>
    </w:p>
    <w:p w14:paraId="0A76EB04" w14:textId="5D0B06CC" w:rsidR="00B92963" w:rsidRPr="006906B5" w:rsidRDefault="00B92963" w:rsidP="008259AE">
      <w:pPr>
        <w:pStyle w:val="Heading1"/>
      </w:pPr>
      <w:bookmarkStart w:id="11" w:name="_Toc225934254"/>
      <w:r w:rsidRPr="006906B5">
        <w:t>AWARD ACCEPTANCE &amp; SETUP</w:t>
      </w:r>
      <w:bookmarkEnd w:id="11"/>
    </w:p>
    <w:p w14:paraId="6D99C272" w14:textId="77777777" w:rsidR="00176507" w:rsidRDefault="00176507" w:rsidP="00176507">
      <w:pPr>
        <w:widowControl/>
        <w:autoSpaceDE/>
        <w:autoSpaceDN/>
      </w:pPr>
    </w:p>
    <w:p w14:paraId="3635AF37" w14:textId="5B02C309" w:rsidR="00260F4B" w:rsidRDefault="00A37788" w:rsidP="00176507">
      <w:pPr>
        <w:widowControl/>
        <w:autoSpaceDE/>
        <w:autoSpaceDN/>
      </w:pPr>
      <w:r>
        <w:t>Award acceptance begins when the Notice of Award (NOA) for federal grants and &lt;&lt;state&gt;&gt; is received. Once all parties have signed the award, the federal award is considered fully executed. After receiving a grant award, agencies should create and maintain a grant summary document that consolidates essential information about the award in one location. This document serves as a quick reference for both program and fiscal staff responsible for managing the grant. At a minimum, the summary should include key funding details such as the funding opportunity title, awarding agency or sub-agency, Assistance Listing (CFDA) number or applicable bill number, funding opportunity number, program purpose, authorizing statute, and the type of funding provided. Including this information helps staff quickly identify the funding source, understand the legal authority for the program, and refer to the governing framework when questions arise during implementation.</w:t>
      </w:r>
    </w:p>
    <w:p w14:paraId="448FA247" w14:textId="77777777" w:rsidR="00A37788" w:rsidRDefault="00A37788" w:rsidP="00A37788">
      <w:pPr>
        <w:widowControl/>
        <w:autoSpaceDE/>
        <w:autoSpaceDN/>
      </w:pPr>
    </w:p>
    <w:p w14:paraId="55515AB4" w14:textId="4D322022" w:rsidR="00260F4B" w:rsidRDefault="00072069" w:rsidP="00072069">
      <w:pPr>
        <w:widowControl/>
        <w:autoSpaceDE/>
        <w:autoSpaceDN/>
        <w:jc w:val="both"/>
      </w:pPr>
      <w:r>
        <w:t xml:space="preserve">The grant summary should also detail the administrative and financial aspects of the award, including the performance period, total funding amount, any required match, and acceptable match sources. A high-level overview of the approved budget should be included, organized by budget category or relevant financial codes </w:t>
      </w:r>
      <w:r>
        <w:lastRenderedPageBreak/>
        <w:t>used for tracking expenses. The document should also outline the approved scope of work, key deliverables, and major program activities. Providing this information helps program staff monitor implementation progress while enabling fiscal staff to oversee spending timelines and ensure expenditures align with the approved budget and funding restrictions.</w:t>
      </w:r>
    </w:p>
    <w:p w14:paraId="2D118E39" w14:textId="77777777" w:rsidR="00260F4B" w:rsidRDefault="00260F4B" w:rsidP="00260F4B">
      <w:pPr>
        <w:widowControl/>
        <w:autoSpaceDE/>
        <w:autoSpaceDN/>
        <w:ind w:left="360"/>
      </w:pPr>
    </w:p>
    <w:p w14:paraId="1589EA97" w14:textId="00FF0D29" w:rsidR="00260F4B" w:rsidRDefault="008D690A" w:rsidP="008D690A">
      <w:pPr>
        <w:widowControl/>
        <w:autoSpaceDE/>
        <w:autoSpaceDN/>
        <w:jc w:val="both"/>
      </w:pPr>
      <w:r>
        <w:t>Additionally, the summary should clearly specify reporting and compliance requirements, such as programmatic reporting frequency, financial reporting obligations, and necessary performance measures. The document should also include the main program and fiscal contacts responsible for grant oversight and may contain brief notes on strategic considerations, risks, or capacity issues that could impact project implementation. Keeping this information concise helps staff involved in grant management quickly access essential details needed to oversee the award, monitor reporting duties, and ensure compliance throughout the grant’s duration.</w:t>
      </w:r>
    </w:p>
    <w:p w14:paraId="66F95A13" w14:textId="77777777" w:rsidR="00260F4B" w:rsidRDefault="00260F4B" w:rsidP="008D690A">
      <w:pPr>
        <w:widowControl/>
        <w:autoSpaceDE/>
        <w:autoSpaceDN/>
        <w:ind w:left="360"/>
        <w:jc w:val="both"/>
      </w:pPr>
    </w:p>
    <w:p w14:paraId="5E9BB561" w14:textId="2D3E3DD8" w:rsidR="00923B71" w:rsidRPr="00923B71" w:rsidRDefault="008D690A" w:rsidP="008D690A">
      <w:pPr>
        <w:widowControl/>
        <w:autoSpaceDE/>
        <w:autoSpaceDN/>
        <w:jc w:val="both"/>
      </w:pPr>
      <w:r>
        <w:t xml:space="preserve">Entities should understand that the interpretation of the regulation or policy is determined by the order of precedence below, with each subsequent policy or regulation being more restrictive but not less restrictive than the one before it. </w:t>
      </w:r>
    </w:p>
    <w:p w14:paraId="3703D687" w14:textId="77777777" w:rsidR="00923B71" w:rsidRDefault="00923B71" w:rsidP="00923B71">
      <w:pPr>
        <w:widowControl/>
        <w:autoSpaceDE/>
        <w:autoSpaceDN/>
        <w:ind w:left="360"/>
      </w:pPr>
    </w:p>
    <w:p w14:paraId="168A2415" w14:textId="7842D575" w:rsidR="00923B71" w:rsidRPr="00923B71" w:rsidRDefault="00923B71" w:rsidP="00923B71">
      <w:pPr>
        <w:widowControl/>
        <w:autoSpaceDE/>
        <w:autoSpaceDN/>
        <w:ind w:left="360"/>
      </w:pPr>
      <w:r w:rsidRPr="00923B71">
        <w:t xml:space="preserve">The order of precedent is as follows: </w:t>
      </w:r>
    </w:p>
    <w:p w14:paraId="4C96E4F0" w14:textId="77777777" w:rsidR="00923B71" w:rsidRPr="00923B71" w:rsidRDefault="00923B71" w:rsidP="00923B71">
      <w:pPr>
        <w:widowControl/>
        <w:autoSpaceDE/>
        <w:autoSpaceDN/>
        <w:ind w:left="360"/>
      </w:pPr>
      <w:r w:rsidRPr="00923B71">
        <w:t xml:space="preserve">1. Federal appropriation language </w:t>
      </w:r>
    </w:p>
    <w:p w14:paraId="53D9A493" w14:textId="77777777" w:rsidR="00923B71" w:rsidRPr="00923B71" w:rsidRDefault="00923B71" w:rsidP="00923B71">
      <w:pPr>
        <w:widowControl/>
        <w:autoSpaceDE/>
        <w:autoSpaceDN/>
        <w:ind w:left="360"/>
      </w:pPr>
      <w:r w:rsidRPr="00923B71">
        <w:t xml:space="preserve">2. Code of Federal Regulations (CFR) </w:t>
      </w:r>
    </w:p>
    <w:p w14:paraId="5F8B8FFD" w14:textId="77777777" w:rsidR="00923B71" w:rsidRPr="00923B71" w:rsidRDefault="00923B71" w:rsidP="00923B71">
      <w:pPr>
        <w:widowControl/>
        <w:autoSpaceDE/>
        <w:autoSpaceDN/>
        <w:ind w:left="360"/>
      </w:pPr>
      <w:r w:rsidRPr="00923B71">
        <w:t xml:space="preserve">3. Executive Orders, Office of Management and Budget (OMB), and Uniform Guidance (UG) </w:t>
      </w:r>
    </w:p>
    <w:p w14:paraId="081FCF08" w14:textId="77777777" w:rsidR="00923B71" w:rsidRPr="00923B71" w:rsidRDefault="00923B71" w:rsidP="00923B71">
      <w:pPr>
        <w:widowControl/>
        <w:autoSpaceDE/>
        <w:autoSpaceDN/>
        <w:ind w:left="360"/>
      </w:pPr>
      <w:r w:rsidRPr="00923B71">
        <w:t xml:space="preserve">4. Notice of Funding Opportunity (NOFO) </w:t>
      </w:r>
    </w:p>
    <w:p w14:paraId="47560B85" w14:textId="77777777" w:rsidR="00923B71" w:rsidRPr="00923B71" w:rsidRDefault="00923B71" w:rsidP="00923B71">
      <w:pPr>
        <w:widowControl/>
        <w:autoSpaceDE/>
        <w:autoSpaceDN/>
        <w:ind w:left="360"/>
      </w:pPr>
      <w:r w:rsidRPr="00923B71">
        <w:t xml:space="preserve">5. Awarding agency’s regulations, special conditions, and provisions </w:t>
      </w:r>
    </w:p>
    <w:p w14:paraId="4B04CE33" w14:textId="77777777" w:rsidR="00923B71" w:rsidRPr="00923B71" w:rsidRDefault="00923B71" w:rsidP="00923B71">
      <w:pPr>
        <w:widowControl/>
        <w:autoSpaceDE/>
        <w:autoSpaceDN/>
        <w:ind w:left="360"/>
      </w:pPr>
      <w:r w:rsidRPr="00923B71">
        <w:t xml:space="preserve">6. Approved grant application including assurances, certifications, attachments, and pre-award negotiations </w:t>
      </w:r>
    </w:p>
    <w:p w14:paraId="12674F0D" w14:textId="4CAEA28E" w:rsidR="00923B71" w:rsidRPr="00923B71" w:rsidRDefault="001645A4" w:rsidP="00923B71">
      <w:pPr>
        <w:widowControl/>
        <w:autoSpaceDE/>
        <w:autoSpaceDN/>
        <w:ind w:left="360"/>
      </w:pPr>
      <w:r w:rsidRPr="00A679AC">
        <w:rPr>
          <w:noProof/>
        </w:rPr>
        <mc:AlternateContent>
          <mc:Choice Requires="wps">
            <w:drawing>
              <wp:anchor distT="45720" distB="45720" distL="114300" distR="114300" simplePos="0" relativeHeight="251658242" behindDoc="1" locked="0" layoutInCell="1" allowOverlap="1" wp14:anchorId="56E91AC9" wp14:editId="376F2D46">
                <wp:simplePos x="0" y="0"/>
                <wp:positionH relativeFrom="column">
                  <wp:posOffset>0</wp:posOffset>
                </wp:positionH>
                <wp:positionV relativeFrom="paragraph">
                  <wp:posOffset>268605</wp:posOffset>
                </wp:positionV>
                <wp:extent cx="6454775" cy="1404620"/>
                <wp:effectExtent l="0" t="0" r="22225" b="16510"/>
                <wp:wrapTopAndBottom/>
                <wp:docPr id="1833477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1404620"/>
                        </a:xfrm>
                        <a:prstGeom prst="rect">
                          <a:avLst/>
                        </a:prstGeom>
                        <a:solidFill>
                          <a:srgbClr val="FFFFFF"/>
                        </a:solidFill>
                        <a:ln w="9525">
                          <a:solidFill>
                            <a:srgbClr val="004D4C"/>
                          </a:solidFill>
                          <a:miter lim="800000"/>
                          <a:headEnd/>
                          <a:tailEnd/>
                        </a:ln>
                      </wps:spPr>
                      <wps:txbx>
                        <w:txbxContent>
                          <w:p w14:paraId="717DAD9C" w14:textId="1BF68418" w:rsidR="004C4301" w:rsidRDefault="004C4301" w:rsidP="004C4301">
                            <w:pPr>
                              <w:pStyle w:val="BestPractice"/>
                            </w:pPr>
                            <w:r>
                              <w:t xml:space="preserve">TIP: Create a Grant Summary </w:t>
                            </w:r>
                            <w:r w:rsidR="006279DE">
                              <w:t>that contains relevant program and financial information and share wi</w:t>
                            </w:r>
                            <w:r w:rsidR="00D35602">
                              <w:t>th</w:t>
                            </w:r>
                            <w:r w:rsidR="006279DE">
                              <w:t xml:space="preserve"> all staff that will be working with the grant.</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E91AC9" id="_x0000_s1029" type="#_x0000_t202" style="position:absolute;left:0;text-align:left;margin-left:0;margin-top:21.15pt;width:508.25pt;height:110.6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" strokecolor="#004d4c">
                <v:textbox style="mso-fit-shape-to-text:t">
                  <w:txbxContent>
                    <w:p w14:paraId="717DAD9C" w14:textId="1BF68418" w:rsidR="004C4301" w:rsidRDefault="004C4301" w:rsidP="004C4301">
                      <w:pPr>
                        <w:pStyle w:val="BestPractice"/>
                      </w:pPr>
                      <w:r>
                        <w:t xml:space="preserve">TIP: Create a Grant Summary </w:t>
                      </w:r>
                      <w:r w:rsidR="006279DE">
                        <w:t>that contains relevant program and financial information and share wi</w:t>
                      </w:r>
                      <w:r w:rsidR="00D35602">
                        <w:t>th</w:t>
                      </w:r>
                      <w:r w:rsidR="006279DE">
                        <w:t xml:space="preserve"> all staff that will be working with the grant.</w:t>
                      </w:r>
                      <w:r>
                        <w:t xml:space="preserve"> </w:t>
                      </w:r>
                    </w:p>
                  </w:txbxContent>
                </v:textbox>
                <w10:wrap type="topAndBottom"/>
              </v:shape>
            </w:pict>
          </mc:Fallback>
        </mc:AlternateContent>
      </w:r>
      <w:r w:rsidR="00923B71" w:rsidRPr="00923B71">
        <w:t xml:space="preserve">7. State and local policies and procedures </w:t>
      </w:r>
    </w:p>
    <w:p w14:paraId="39E14811" w14:textId="6ABF6C67" w:rsidR="00923B71" w:rsidRDefault="00923B71" w:rsidP="00260F4B">
      <w:pPr>
        <w:widowControl/>
        <w:autoSpaceDE/>
        <w:autoSpaceDN/>
        <w:ind w:left="360"/>
      </w:pPr>
    </w:p>
    <w:p w14:paraId="4EA98538" w14:textId="74DFE61B" w:rsidR="004451EC" w:rsidRDefault="00792236" w:rsidP="006906B5">
      <w:pPr>
        <w:pStyle w:val="Heading2"/>
      </w:pPr>
      <w:bookmarkStart w:id="12" w:name="_Toc225934255"/>
      <w:r>
        <w:t xml:space="preserve">federal </w:t>
      </w:r>
      <w:r w:rsidR="004451EC">
        <w:t>Application Denial</w:t>
      </w:r>
      <w:bookmarkEnd w:id="12"/>
    </w:p>
    <w:p w14:paraId="376C721F" w14:textId="77777777" w:rsidR="008D690A" w:rsidRDefault="008D690A" w:rsidP="004451EC"/>
    <w:p w14:paraId="0CC5080D" w14:textId="04DB9994" w:rsidR="004451EC" w:rsidRDefault="006B5E2F" w:rsidP="004451EC">
      <w:r>
        <w:t>If a federal grant application is denied, entities may request a formal debrief. This debrief will provide important information that can be used to help secure future federal awards.</w:t>
      </w:r>
    </w:p>
    <w:p w14:paraId="0A1E0B16" w14:textId="77777777" w:rsidR="00792236" w:rsidRDefault="00792236" w:rsidP="00792236"/>
    <w:p w14:paraId="75B6A3C6" w14:textId="62CFFD83" w:rsidR="00792236" w:rsidRDefault="006B5E2F" w:rsidP="00792236">
      <w:r>
        <w:t xml:space="preserve">At a minimum, the debriefing information must include: </w:t>
      </w:r>
    </w:p>
    <w:p w14:paraId="37A8F3C6" w14:textId="77777777" w:rsidR="006B5E2F" w:rsidRPr="00792236" w:rsidRDefault="006B5E2F" w:rsidP="00792236"/>
    <w:p w14:paraId="7AB5E12E" w14:textId="014FB72F" w:rsidR="00792236" w:rsidRPr="00792236" w:rsidRDefault="00792236" w:rsidP="00792236">
      <w:r w:rsidRPr="00792236">
        <w:t xml:space="preserve">1. </w:t>
      </w:r>
      <w:r w:rsidR="008A7995">
        <w:t xml:space="preserve">Governmental evaluation of any significant weaknesses or deficiencies in the offeror’s proposal, if applicable. </w:t>
      </w:r>
    </w:p>
    <w:p w14:paraId="2E8CA476" w14:textId="1A643E75" w:rsidR="00792236" w:rsidRPr="00792236" w:rsidRDefault="00792236" w:rsidP="00792236">
      <w:r w:rsidRPr="00792236">
        <w:t xml:space="preserve">2. </w:t>
      </w:r>
      <w:r w:rsidR="008A7995">
        <w:t xml:space="preserve">The overall evaluated cost or price (including unit prices) and technical rating, if applicable, of the successful offeror and the debriefed offeror, as well as past performance information on the debriefed offeror. </w:t>
      </w:r>
    </w:p>
    <w:p w14:paraId="648E1B5B" w14:textId="34E0F2CE" w:rsidR="00792236" w:rsidRPr="00792236" w:rsidRDefault="00792236" w:rsidP="00792236">
      <w:r w:rsidRPr="00792236">
        <w:t xml:space="preserve">3. </w:t>
      </w:r>
      <w:r w:rsidR="008A7995">
        <w:t xml:space="preserve">The overall ranking of all offerors when the agency developed any ranking during the source selection. </w:t>
      </w:r>
    </w:p>
    <w:p w14:paraId="3ABC5FC1" w14:textId="77777777" w:rsidR="00792236" w:rsidRPr="00792236" w:rsidRDefault="00792236" w:rsidP="00792236">
      <w:r w:rsidRPr="00792236">
        <w:t xml:space="preserve">4. A summary of the rationale for award. </w:t>
      </w:r>
    </w:p>
    <w:p w14:paraId="67B245F4" w14:textId="4CBCECF4" w:rsidR="00792236" w:rsidRPr="00792236" w:rsidRDefault="00792236" w:rsidP="00792236">
      <w:r w:rsidRPr="00792236">
        <w:t xml:space="preserve">5. </w:t>
      </w:r>
      <w:r w:rsidR="0000097E">
        <w:t xml:space="preserve">For acquisitions of commercial products, specify the make and model of the product to be delivered by the successful offeror. </w:t>
      </w:r>
    </w:p>
    <w:p w14:paraId="3D328F7C" w14:textId="61D22077" w:rsidR="00792236" w:rsidRPr="00792236" w:rsidRDefault="008321E4" w:rsidP="00792236">
      <w:r w:rsidRPr="00A679AC">
        <w:rPr>
          <w:rStyle w:val="Heading2Char"/>
          <w:noProof/>
        </w:rPr>
        <mc:AlternateContent>
          <mc:Choice Requires="wps">
            <w:drawing>
              <wp:anchor distT="45720" distB="45720" distL="114300" distR="114300" simplePos="0" relativeHeight="251658243" behindDoc="0" locked="0" layoutInCell="1" allowOverlap="1" wp14:anchorId="360DF365" wp14:editId="7B8F4E22">
                <wp:simplePos x="0" y="0"/>
                <wp:positionH relativeFrom="column">
                  <wp:posOffset>0</wp:posOffset>
                </wp:positionH>
                <wp:positionV relativeFrom="paragraph">
                  <wp:posOffset>525780</wp:posOffset>
                </wp:positionV>
                <wp:extent cx="6565900" cy="1404620"/>
                <wp:effectExtent l="0" t="0" r="25400" b="27305"/>
                <wp:wrapSquare wrapText="bothSides"/>
                <wp:docPr id="25312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404620"/>
                        </a:xfrm>
                        <a:prstGeom prst="rect">
                          <a:avLst/>
                        </a:prstGeom>
                        <a:solidFill>
                          <a:srgbClr val="FFFFFF"/>
                        </a:solidFill>
                        <a:ln w="9525">
                          <a:solidFill>
                            <a:srgbClr val="004D4C"/>
                          </a:solidFill>
                          <a:miter lim="800000"/>
                          <a:headEnd/>
                          <a:tailEnd/>
                        </a:ln>
                      </wps:spPr>
                      <wps:txbx>
                        <w:txbxContent>
                          <w:p w14:paraId="4184CA4A" w14:textId="6E7A8C55" w:rsidR="00633CED" w:rsidRDefault="00633CED" w:rsidP="00633CED">
                            <w:pPr>
                              <w:pStyle w:val="BestPractice"/>
                            </w:pPr>
                            <w:r>
                              <w:t xml:space="preserve">TIP - </w:t>
                            </w:r>
                            <w:r w:rsidR="008321E4" w:rsidRPr="008321E4">
                              <w:t>Applicants are strongly encouraged to request a debrief following an unsuccessful application. Feedback from the funding agency can provide valuable insight into the strengths and weaknesses of the proposal and help refine future applications to improve the likelihood of success.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0DF365" id="_x0000_s1030" type="#_x0000_t202" style="position:absolute;margin-left:0;margin-top:41.4pt;width:517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" strokecolor="#004d4c">
                <v:textbox style="mso-fit-shape-to-text:t">
                  <w:txbxContent>
                    <w:p w14:paraId="4184CA4A" w14:textId="6E7A8C55" w:rsidR="00633CED" w:rsidRDefault="00633CED" w:rsidP="00633CED">
                      <w:pPr>
                        <w:pStyle w:val="BestPractice"/>
                      </w:pPr>
                      <w:r>
                        <w:t xml:space="preserve">TIP - </w:t>
                      </w:r>
                      <w:r w:rsidR="008321E4" w:rsidRPr="008321E4">
                        <w:t>Applicants are strongly encouraged to request a debrief following an unsuccessful application. Feedback from the funding agency can provide valuable insight into the strengths and weaknesses of the proposal and help refine future applications to improve the likelihood of success.</w:t>
                      </w:r>
                    </w:p>
                  </w:txbxContent>
                </v:textbox>
                <w10:wrap type="square"/>
              </v:shape>
            </w:pict>
          </mc:Fallback>
        </mc:AlternateContent>
      </w:r>
      <w:r w:rsidR="00792236" w:rsidRPr="00792236">
        <w:t xml:space="preserve">6. </w:t>
      </w:r>
      <w:r w:rsidR="0000097E">
        <w:t xml:space="preserve">Reasonable responses to relevant questions regarding whether source selection procedures specified in the solicitation, applicable regulations, and other relevant authorities were followed. </w:t>
      </w:r>
    </w:p>
    <w:p w14:paraId="327CA088" w14:textId="11E6647B" w:rsidR="004972B4" w:rsidRDefault="006906B5" w:rsidP="006906B5">
      <w:pPr>
        <w:pStyle w:val="Heading2"/>
      </w:pPr>
      <w:bookmarkStart w:id="13" w:name="_Toc225934256"/>
      <w:r>
        <w:lastRenderedPageBreak/>
        <w:t>Award Financial Setup</w:t>
      </w:r>
      <w:bookmarkEnd w:id="13"/>
    </w:p>
    <w:p w14:paraId="3091E5D2" w14:textId="77777777" w:rsidR="0013115A" w:rsidRDefault="0013115A" w:rsidP="00FA6A1D"/>
    <w:p w14:paraId="63D5BC7B" w14:textId="111E24B5" w:rsidR="00FA6A1D" w:rsidRPr="00FA6A1D" w:rsidRDefault="0013115A" w:rsidP="00BC7F9D">
      <w:pPr>
        <w:jc w:val="both"/>
      </w:pPr>
      <w:r>
        <w:t>After receiving a fully executed grant agreement, the agency must set up the grant in the SHARE financial system to ensure accurate financial tracking, reporting, and oversight. The setup process should be completed promptly to enable proper recording of expenditures and support effective fiscal management throughout the period of performance.</w:t>
      </w:r>
    </w:p>
    <w:p w14:paraId="50CF97F0" w14:textId="77777777" w:rsidR="00FA6A1D" w:rsidRDefault="00FA6A1D" w:rsidP="00BC7F9D">
      <w:pPr>
        <w:jc w:val="both"/>
      </w:pPr>
    </w:p>
    <w:p w14:paraId="19ACB81E" w14:textId="00B598F3" w:rsidR="00FA6A1D" w:rsidRPr="00FA6A1D" w:rsidRDefault="0013115A" w:rsidP="00BC7F9D">
      <w:pPr>
        <w:jc w:val="both"/>
      </w:pPr>
      <w:r>
        <w:t>All financial setup and accounting activities must follow applicable state financial management requirements. This includes complying with the 2.2.2 NMAC accounting standards, procedures issued by the Department of Finance and Administration (DFA) Financial Control Division, and the SHARE system project requirements used to track grant-related revenues and expenses. Agencies must ensure that all financial coding, project structures, and account classifications are correctly established to support accurate reporting and audit compliance.</w:t>
      </w:r>
    </w:p>
    <w:p w14:paraId="1BB81E27" w14:textId="77777777" w:rsidR="00FA6A1D" w:rsidRDefault="00FA6A1D" w:rsidP="00BC7F9D">
      <w:pPr>
        <w:jc w:val="both"/>
      </w:pPr>
    </w:p>
    <w:p w14:paraId="22ACD968" w14:textId="3C0BDC1E" w:rsidR="000C2938" w:rsidRPr="000C2938" w:rsidRDefault="00BC7F9D" w:rsidP="00BC7F9D">
      <w:pPr>
        <w:jc w:val="both"/>
      </w:pPr>
      <w:r>
        <w:t xml:space="preserve">In addition, agencies must adhere to State Treasury cash management rules when administering grant funds. Proper setup within SHARE ensures that grant revenues, expenditures, and cash activity are recorded in line with state accounting policies and promotes transparency, financial accountability, and compliance with state oversight standards. As part of this process, agencies need to establish the approved grant budget and verify that all required chartfields, including the appropriate fund, department, program, project or grant ID, and account classifications, are accurately configured. Collaboration among program staff, budget personnel, and financial management staff is essential to ensure the grant is correctly set up and that expenditures match the approved grant budget and funding source. Supporting documentation, such as the executed grant agreement and approved budget, should be kept according to state records retention and audit requirements. </w:t>
      </w:r>
    </w:p>
    <w:p w14:paraId="1200A5E5" w14:textId="77777777" w:rsidR="00735CEC" w:rsidRPr="00FA6A1D" w:rsidRDefault="00735CEC" w:rsidP="00FA6A1D"/>
    <w:p w14:paraId="21C64C36" w14:textId="71FEA49D" w:rsidR="001E2FB9" w:rsidRDefault="001E2FB9">
      <w:pPr>
        <w:rPr>
          <w:b/>
          <w:bCs/>
          <w:sz w:val="32"/>
          <w:szCs w:val="32"/>
        </w:rPr>
      </w:pPr>
    </w:p>
    <w:p w14:paraId="07B75CC5" w14:textId="4D907A94" w:rsidR="008B17D7" w:rsidRDefault="008B17D7" w:rsidP="008B17D7">
      <w:pPr>
        <w:pStyle w:val="Heading1"/>
      </w:pPr>
      <w:bookmarkStart w:id="14" w:name="_Toc225934257"/>
      <w:r>
        <w:t xml:space="preserve">POST AWARD </w:t>
      </w:r>
      <w:r w:rsidR="00BC7F9D">
        <w:t>ACTIVITIES</w:t>
      </w:r>
      <w:bookmarkEnd w:id="14"/>
    </w:p>
    <w:p w14:paraId="3B62A55D" w14:textId="29AC1683" w:rsidR="00B92963" w:rsidRPr="00637B34" w:rsidRDefault="00B92963" w:rsidP="008259AE">
      <w:pPr>
        <w:pStyle w:val="Heading2"/>
      </w:pPr>
      <w:bookmarkStart w:id="15" w:name="_Toc225934258"/>
      <w:r w:rsidRPr="00637B34">
        <w:t>PROCUREMENT</w:t>
      </w:r>
      <w:bookmarkEnd w:id="15"/>
      <w:r w:rsidR="00D8384C">
        <w:t xml:space="preserve"> </w:t>
      </w:r>
    </w:p>
    <w:p w14:paraId="1F4163F6" w14:textId="77777777" w:rsidR="00BC7F9D" w:rsidRDefault="00BC7F9D" w:rsidP="00426CCE"/>
    <w:p w14:paraId="6FE070D4" w14:textId="66C3EBC7" w:rsidR="00426CCE" w:rsidRDefault="00BC7F9D" w:rsidP="00C93184">
      <w:pPr>
        <w:jc w:val="both"/>
      </w:pPr>
      <w:r>
        <w:t>When expending grant funds, agencies must comply with all relevant federal and state procurement laws and regulations to ensure that goods and services are acquired in a fair, transparent, and competitive manner. Procurement activities must adhere to state procurement statutes, administrative rules, and agency procedures, as well as any federal requirements related to the funding source. Proper procurement management guarantees that expenditures are allowable, reasonable, and properly documented while maintaining accountability for the use of public funds.</w:t>
      </w:r>
    </w:p>
    <w:p w14:paraId="193AA282" w14:textId="77777777" w:rsidR="00426CCE" w:rsidRPr="00426CCE" w:rsidRDefault="00426CCE" w:rsidP="00C93184">
      <w:pPr>
        <w:jc w:val="both"/>
      </w:pPr>
    </w:p>
    <w:p w14:paraId="0AD86004" w14:textId="598F7567" w:rsidR="00154C18" w:rsidRDefault="00C93184" w:rsidP="00C93184">
      <w:pPr>
        <w:jc w:val="both"/>
      </w:pPr>
      <w:r>
        <w:t>When federal funds are involved, agencies must decide whether an external entity is a contractor or a subrecipient and document the reasoning for that decision. Agencies must ensure that proper procurement or subaward procedures are followed and that agreements include clear scopes of work, performance expectations, funding amounts, reimbursement processes, reporting requirements, and necessary federal and state provisions.</w:t>
      </w:r>
    </w:p>
    <w:p w14:paraId="2C21F899" w14:textId="68982EE3" w:rsidR="00DF68F1" w:rsidRDefault="00DF68F1" w:rsidP="00DF68F1">
      <w:pPr>
        <w:pStyle w:val="Heading2"/>
      </w:pPr>
      <w:bookmarkStart w:id="16" w:name="_Toc225934259"/>
      <w:r w:rsidRPr="00637B34">
        <w:t xml:space="preserve">CONTRACT </w:t>
      </w:r>
      <w:r w:rsidR="00B251C1">
        <w:t>and subaward</w:t>
      </w:r>
      <w:r w:rsidRPr="00637B34">
        <w:t xml:space="preserve"> MANAGEMENT</w:t>
      </w:r>
      <w:bookmarkEnd w:id="16"/>
    </w:p>
    <w:p w14:paraId="19717A1A" w14:textId="77777777" w:rsidR="00C93184" w:rsidRDefault="00C93184" w:rsidP="005866C9"/>
    <w:p w14:paraId="1FC5F10B" w14:textId="1C146A6A" w:rsidR="005866C9" w:rsidRDefault="00C93184" w:rsidP="00C93184">
      <w:pPr>
        <w:jc w:val="both"/>
      </w:pPr>
      <w:r>
        <w:t xml:space="preserve">Contracts and subawards issued under a federal award must clearly define the scope, expectations, and administrative requirements necessary to ensure compliance with federal and state regulations. At a minimum, agreements should include a Scope of Work (SOW) that clearly describes the activities, services, or program responsibilities to be performed, along with defined deliverables that establish measurable outputs or outcomes. The agreement must also specify the period of performance, including the start and end dates during which work may take place and costs may be incurred. Financial provisions should detail the payment method, whether </w:t>
      </w:r>
      <w:r>
        <w:lastRenderedPageBreak/>
        <w:t xml:space="preserve">payments will be made on a reimbursement basis, through advance payments, or via another approved payment structure consistent with federal cash management requirements. The agreement should also outline invoicing procedures, documentation requirements, and payment timelines. For subrecipients, agencies are encouraged to use a standardized subaward template that includes the necessary federal award information and compliance provisions. </w:t>
      </w:r>
    </w:p>
    <w:p w14:paraId="74AEC3F4" w14:textId="77777777" w:rsidR="005866C9" w:rsidRDefault="005866C9" w:rsidP="005866C9"/>
    <w:p w14:paraId="6448FD6B" w14:textId="31191BA0" w:rsidR="005866C9" w:rsidRDefault="00750AD3" w:rsidP="005E2DF4">
      <w:pPr>
        <w:jc w:val="both"/>
      </w:pPr>
      <w:r w:rsidRPr="00A679AC">
        <w:rPr>
          <w:noProof/>
        </w:rPr>
        <mc:AlternateContent>
          <mc:Choice Requires="wps">
            <w:drawing>
              <wp:anchor distT="45720" distB="45720" distL="114300" distR="114300" simplePos="0" relativeHeight="251658244" behindDoc="0" locked="0" layoutInCell="1" allowOverlap="1" wp14:anchorId="75AC1FCD" wp14:editId="5D0B67DF">
                <wp:simplePos x="0" y="0"/>
                <wp:positionH relativeFrom="column">
                  <wp:posOffset>0</wp:posOffset>
                </wp:positionH>
                <wp:positionV relativeFrom="paragraph">
                  <wp:posOffset>1114425</wp:posOffset>
                </wp:positionV>
                <wp:extent cx="6565900" cy="624205"/>
                <wp:effectExtent l="0" t="0" r="25400" b="23495"/>
                <wp:wrapSquare wrapText="bothSides"/>
                <wp:docPr id="1430907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624205"/>
                        </a:xfrm>
                        <a:prstGeom prst="rect">
                          <a:avLst/>
                        </a:prstGeom>
                        <a:solidFill>
                          <a:srgbClr val="FFFFFF"/>
                        </a:solidFill>
                        <a:ln w="9525">
                          <a:solidFill>
                            <a:srgbClr val="004D4C"/>
                          </a:solidFill>
                          <a:miter lim="800000"/>
                          <a:headEnd/>
                          <a:tailEnd/>
                        </a:ln>
                      </wps:spPr>
                      <wps:txbx>
                        <w:txbxContent>
                          <w:p w14:paraId="39AB00A4" w14:textId="77777777" w:rsidR="00E4598B" w:rsidRDefault="00E4598B" w:rsidP="00E4598B">
                            <w:pPr>
                              <w:pStyle w:val="BestPractice"/>
                            </w:pPr>
                            <w:r>
                              <w:t xml:space="preserve">TIP </w:t>
                            </w:r>
                            <w:r w:rsidR="00B66914">
                              <w:t>–</w:t>
                            </w:r>
                            <w:r>
                              <w:t xml:space="preserve"> </w:t>
                            </w:r>
                            <w:r w:rsidR="001C35CE">
                              <w:t>Maintain all documentation used to determine subrecipient or contractor sta</w:t>
                            </w:r>
                            <w:r w:rsidR="00EC21AC">
                              <w:t xml:space="preserve">tus. </w:t>
                            </w:r>
                            <w:r w:rsidR="00B66914">
                              <w:t>Contact federalgrant.bureau</w:t>
                            </w:r>
                            <w:r w:rsidR="001C35CE">
                              <w:t>@dfa.nm.gov</w:t>
                            </w:r>
                            <w:r w:rsidR="00B66914">
                              <w:t xml:space="preserve"> </w:t>
                            </w:r>
                            <w:r w:rsidR="00CE46E7">
                              <w:t xml:space="preserve">and request a copy of the </w:t>
                            </w:r>
                            <w:r w:rsidR="001C35CE">
                              <w:t>s</w:t>
                            </w:r>
                            <w:r w:rsidR="00CE46E7" w:rsidRPr="00CE46E7">
                              <w:t>ubrecipient vs contractor checklist</w:t>
                            </w:r>
                            <w:r w:rsidR="00455784">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AC1FCD" id="_x0000_s1031" type="#_x0000_t202" style="position:absolute;left:0;text-align:left;margin-left:0;margin-top:87.75pt;width:517pt;height:49.15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" strokecolor="#004d4c">
                <v:textbox style="mso-fit-shape-to-text:t">
                  <w:txbxContent>
                    <w:p w14:paraId="39AB00A4" w14:textId="77777777" w:rsidR="00E4598B" w:rsidRDefault="00E4598B" w:rsidP="00E4598B">
                      <w:pPr>
                        <w:pStyle w:val="BestPractice"/>
                      </w:pPr>
                      <w:r>
                        <w:t xml:space="preserve">TIP </w:t>
                      </w:r>
                      <w:r w:rsidR="00B66914">
                        <w:t>–</w:t>
                      </w:r>
                      <w:r>
                        <w:t xml:space="preserve"> </w:t>
                      </w:r>
                      <w:r w:rsidR="001C35CE">
                        <w:t>Maintain all documentation used to determine subrecipient or contractor sta</w:t>
                      </w:r>
                      <w:r w:rsidR="00EC21AC">
                        <w:t xml:space="preserve">tus. </w:t>
                      </w:r>
                      <w:r w:rsidR="00B66914">
                        <w:t>Contact federalgrant.bureau</w:t>
                      </w:r>
                      <w:r w:rsidR="001C35CE">
                        <w:t>@dfa.nm.gov</w:t>
                      </w:r>
                      <w:r w:rsidR="00B66914">
                        <w:t xml:space="preserve"> </w:t>
                      </w:r>
                      <w:r w:rsidR="00CE46E7">
                        <w:t xml:space="preserve">and request a copy of the </w:t>
                      </w:r>
                      <w:r w:rsidR="001C35CE">
                        <w:t>s</w:t>
                      </w:r>
                      <w:r w:rsidR="00CE46E7" w:rsidRPr="00CE46E7">
                        <w:t>ubrecipient vs contractor checklist</w:t>
                      </w:r>
                      <w:r w:rsidR="00455784">
                        <w:t>.</w:t>
                      </w:r>
                    </w:p>
                  </w:txbxContent>
                </v:textbox>
                <w10:wrap type="square"/>
              </v:shape>
            </w:pict>
          </mc:Fallback>
        </mc:AlternateContent>
      </w:r>
      <w:r w:rsidR="005E2DF4">
        <w:t xml:space="preserve">When appropriate, agencies should also use General Services Department (GSD) contract templates to ensure consistency with statewide procurement and contract management standards. Well-structured agreements help define expectations, support accountability, and ensure compliance with both federal requirements and New Mexico contract policies. State agencies awarding federal funds to subrecipients should use the standardized subrecipient agreement template as a base and modify it as needed to meet specific requirements set by federal awarding agencies or programs. </w:t>
      </w:r>
    </w:p>
    <w:p w14:paraId="26BE218D" w14:textId="21E062A4" w:rsidR="00492B6C" w:rsidRDefault="00492B6C" w:rsidP="005866C9"/>
    <w:p w14:paraId="2BB73177" w14:textId="5FEA2C43" w:rsidR="00EC21AC" w:rsidRPr="004D77AB" w:rsidRDefault="00EC21AC" w:rsidP="00EC21AC">
      <w:pPr>
        <w:rPr>
          <w:rStyle w:val="IntenseReference"/>
          <w:b w:val="0"/>
          <w:bCs w:val="0"/>
          <w:highlight w:val="yellow"/>
        </w:rPr>
      </w:pPr>
      <w:r w:rsidRPr="004D77AB">
        <w:rPr>
          <w:rStyle w:val="IntenseReference"/>
          <w:b w:val="0"/>
          <w:bCs w:val="0"/>
          <w:highlight w:val="yellow"/>
        </w:rPr>
        <w:t>Agency</w:t>
      </w:r>
      <w:r w:rsidRPr="004D77AB">
        <w:rPr>
          <w:rStyle w:val="IntenseReference"/>
          <w:rFonts w:ascii="Cambria Math" w:hAnsi="Cambria Math" w:cs="Cambria Math"/>
          <w:b w:val="0"/>
          <w:bCs w:val="0"/>
          <w:highlight w:val="yellow"/>
        </w:rPr>
        <w:t>‑</w:t>
      </w:r>
      <w:r w:rsidRPr="004D77AB">
        <w:rPr>
          <w:rStyle w:val="IntenseReference"/>
          <w:b w:val="0"/>
          <w:bCs w:val="0"/>
          <w:highlight w:val="yellow"/>
        </w:rPr>
        <w:t>specific procedures for PROCUREMENT AND CONTRACT EXECUTION. (placeholder section)</w:t>
      </w:r>
    </w:p>
    <w:p w14:paraId="7C57042A" w14:textId="74C92979" w:rsidR="00DF68F1" w:rsidRPr="00637B34" w:rsidRDefault="00DF68F1" w:rsidP="00DF68F1">
      <w:pPr>
        <w:pStyle w:val="Heading2"/>
      </w:pPr>
      <w:bookmarkStart w:id="17" w:name="_Toc225934260"/>
      <w:r>
        <w:t>RISK EVALUATION</w:t>
      </w:r>
      <w:bookmarkEnd w:id="17"/>
    </w:p>
    <w:p w14:paraId="4F32BCFC" w14:textId="77777777" w:rsidR="005E2DF4" w:rsidRDefault="005E2DF4" w:rsidP="00886663"/>
    <w:p w14:paraId="4A879C0D" w14:textId="43F0A0E5" w:rsidR="00886663" w:rsidRPr="00D6538A" w:rsidRDefault="00010EC0" w:rsidP="00AB4D07">
      <w:pPr>
        <w:jc w:val="both"/>
      </w:pPr>
      <w:r>
        <w:t>Before issuing a contract or subaward, agencies should assess and document the entity’s organizational capacity, financial stability, and experience with grant-funded activities. This assessment should include an evaluation of potential risks linked to the entity’s ability to meet programmatic, financial, and reporting requirements. Agencies should keep records of the risk assessment and the factors considered when deciding if the entity can successfully perform the proposed activities.</w:t>
      </w:r>
    </w:p>
    <w:p w14:paraId="53B91661" w14:textId="77777777" w:rsidR="00886663" w:rsidRDefault="00886663" w:rsidP="00AB4D07">
      <w:pPr>
        <w:jc w:val="both"/>
      </w:pPr>
    </w:p>
    <w:p w14:paraId="5027BC8A" w14:textId="36A5F98A" w:rsidR="00D6538A" w:rsidRPr="00D6538A" w:rsidRDefault="00010EC0" w:rsidP="00AB4D07">
      <w:pPr>
        <w:jc w:val="both"/>
      </w:pPr>
      <w:r>
        <w:t>Based on the results of this assessment, agencies may implement risk-based oversight measures, such as including special conditions in the contract or subaward agreement. These conditions might involve additional reporting requirements, enhanced monitoring, technical assistance, reimbursement-based payments, or other controls aimed at mitigating identified risks and ensuring compliance with grant requirements.</w:t>
      </w:r>
    </w:p>
    <w:p w14:paraId="10556051" w14:textId="62DCAD3D" w:rsidR="00426CCE" w:rsidRDefault="00750AD3" w:rsidP="00426CCE">
      <w:r w:rsidRPr="00A679AC">
        <w:rPr>
          <w:rStyle w:val="QuoteChar"/>
          <w:noProof/>
        </w:rPr>
        <mc:AlternateContent>
          <mc:Choice Requires="wps">
            <w:drawing>
              <wp:anchor distT="45720" distB="45720" distL="114300" distR="114300" simplePos="0" relativeHeight="251658245" behindDoc="0" locked="0" layoutInCell="1" allowOverlap="1" wp14:anchorId="2C029038" wp14:editId="522099B0">
                <wp:simplePos x="0" y="0"/>
                <wp:positionH relativeFrom="column">
                  <wp:posOffset>0</wp:posOffset>
                </wp:positionH>
                <wp:positionV relativeFrom="paragraph">
                  <wp:posOffset>245745</wp:posOffset>
                </wp:positionV>
                <wp:extent cx="6565900" cy="1404620"/>
                <wp:effectExtent l="0" t="0" r="25400" b="27305"/>
                <wp:wrapSquare wrapText="bothSides"/>
                <wp:docPr id="1007186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404620"/>
                        </a:xfrm>
                        <a:prstGeom prst="rect">
                          <a:avLst/>
                        </a:prstGeom>
                        <a:solidFill>
                          <a:srgbClr val="FFFFFF"/>
                        </a:solidFill>
                        <a:ln w="9525">
                          <a:solidFill>
                            <a:srgbClr val="004D4C"/>
                          </a:solidFill>
                          <a:miter lim="800000"/>
                          <a:headEnd/>
                          <a:tailEnd/>
                        </a:ln>
                      </wps:spPr>
                      <wps:txbx>
                        <w:txbxContent>
                          <w:p w14:paraId="7A5D33D5" w14:textId="355C563B" w:rsidR="00455784" w:rsidRDefault="00455784" w:rsidP="00455784">
                            <w:pPr>
                              <w:pStyle w:val="BestPractice"/>
                            </w:pPr>
                            <w:r>
                              <w:t xml:space="preserve">TIP – Maintain all documentation used to evaluate risk. Contact federalgrant.bureau@dfa.nm.gov and request a copy of the </w:t>
                            </w:r>
                            <w:r w:rsidR="00985CFA">
                              <w:t>S</w:t>
                            </w:r>
                            <w:r w:rsidRPr="00CE46E7">
                              <w:t xml:space="preserve">ubrecipient </w:t>
                            </w:r>
                            <w:r w:rsidR="0058038D">
                              <w:t>Risk Assessment</w:t>
                            </w:r>
                            <w:r w:rsidR="00985CFA">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029038" id="_x0000_s1032" type="#_x0000_t202" style="position:absolute;margin-left:0;margin-top:19.35pt;width:517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" strokecolor="#004d4c">
                <v:textbox style="mso-fit-shape-to-text:t">
                  <w:txbxContent>
                    <w:p w14:paraId="7A5D33D5" w14:textId="355C563B" w:rsidR="00455784" w:rsidRDefault="00455784" w:rsidP="00455784">
                      <w:pPr>
                        <w:pStyle w:val="BestPractice"/>
                      </w:pPr>
                      <w:r>
                        <w:t xml:space="preserve">TIP – Maintain all documentation used to evaluate risk. Contact federalgrant.bureau@dfa.nm.gov and request a copy of the </w:t>
                      </w:r>
                      <w:r w:rsidR="00985CFA">
                        <w:t>S</w:t>
                      </w:r>
                      <w:r w:rsidRPr="00CE46E7">
                        <w:t xml:space="preserve">ubrecipient </w:t>
                      </w:r>
                      <w:r w:rsidR="0058038D">
                        <w:t>Risk Assessment</w:t>
                      </w:r>
                      <w:r w:rsidR="00985CFA">
                        <w:t>.</w:t>
                      </w:r>
                    </w:p>
                  </w:txbxContent>
                </v:textbox>
                <w10:wrap type="square"/>
              </v:shape>
            </w:pict>
          </mc:Fallback>
        </mc:AlternateContent>
      </w:r>
    </w:p>
    <w:p w14:paraId="0E251C13" w14:textId="77777777" w:rsidR="00C445E6" w:rsidRPr="00E21FE8" w:rsidRDefault="00C445E6" w:rsidP="009E1B15">
      <w:pPr>
        <w:rPr>
          <w:rStyle w:val="SubtleReference"/>
        </w:rPr>
      </w:pPr>
    </w:p>
    <w:p w14:paraId="4E2DFF31" w14:textId="53ACFD0B" w:rsidR="00051FAA" w:rsidRPr="009B4DBB" w:rsidRDefault="00051FAA" w:rsidP="00051FAA">
      <w:pPr>
        <w:rPr>
          <w:rStyle w:val="IntenseReference"/>
          <w:highlight w:val="yellow"/>
        </w:rPr>
      </w:pPr>
      <w:r w:rsidRPr="009B4DBB">
        <w:rPr>
          <w:rStyle w:val="IntenseReference"/>
          <w:highlight w:val="yellow"/>
        </w:rPr>
        <w:t>Agency</w:t>
      </w:r>
      <w:r w:rsidRPr="009B4DBB">
        <w:rPr>
          <w:rStyle w:val="IntenseReference"/>
          <w:rFonts w:ascii="Cambria Math" w:hAnsi="Cambria Math" w:cs="Cambria Math"/>
          <w:highlight w:val="yellow"/>
        </w:rPr>
        <w:t>‑</w:t>
      </w:r>
      <w:r w:rsidRPr="009B4DBB">
        <w:rPr>
          <w:rStyle w:val="IntenseReference"/>
          <w:highlight w:val="yellow"/>
        </w:rPr>
        <w:t xml:space="preserve">specific procedures for </w:t>
      </w:r>
      <w:r w:rsidR="00795296" w:rsidRPr="009B4DBB">
        <w:rPr>
          <w:rStyle w:val="IntenseReference"/>
          <w:highlight w:val="yellow"/>
        </w:rPr>
        <w:t>documenting risk evaluation</w:t>
      </w:r>
      <w:r w:rsidRPr="009B4DBB">
        <w:rPr>
          <w:rStyle w:val="IntenseReference"/>
          <w:highlight w:val="yellow"/>
        </w:rPr>
        <w:t>. (placeholder section)</w:t>
      </w:r>
    </w:p>
    <w:p w14:paraId="63BDD4DB" w14:textId="5086CFEC" w:rsidR="00B92963" w:rsidRDefault="00457EB3" w:rsidP="008B17D7">
      <w:pPr>
        <w:pStyle w:val="Heading2"/>
      </w:pPr>
      <w:bookmarkStart w:id="18" w:name="_Toc225934261"/>
      <w:r>
        <w:t xml:space="preserve">PROGRAM AND </w:t>
      </w:r>
      <w:r w:rsidR="00B92963" w:rsidRPr="00637B34">
        <w:t>FINANCIAL MANAGEMENT</w:t>
      </w:r>
      <w:bookmarkEnd w:id="18"/>
    </w:p>
    <w:p w14:paraId="3095EEB3" w14:textId="77777777" w:rsidR="00F67D3B" w:rsidRDefault="00F67D3B" w:rsidP="004E3073"/>
    <w:p w14:paraId="3A0F47A6" w14:textId="14DADA45" w:rsidR="004E3073" w:rsidRPr="004E3073" w:rsidRDefault="00F67D3B" w:rsidP="000F053B">
      <w:pPr>
        <w:jc w:val="both"/>
      </w:pPr>
      <w:r>
        <w:t xml:space="preserve">Effective grant administration requires strong program and financial management to ensure that awarded funds are used in accordance with the terms of the grant agreement and applicable federal and state requirements. Program management focuses on implementing the approved scope of work, achieving program goals, and delivering the outcomes and performance measures outlined in the award. Financial management emphasizes establishing fiscal controls, tracking grant revenues and expenditures, and maintaining compliance with relevant federal and state regulations. </w:t>
      </w:r>
    </w:p>
    <w:p w14:paraId="73544756" w14:textId="773C7C86" w:rsidR="00457EB3" w:rsidRDefault="00457EB3" w:rsidP="000F053B">
      <w:pPr>
        <w:jc w:val="both"/>
      </w:pPr>
    </w:p>
    <w:p w14:paraId="0341A8D4" w14:textId="78AAD418" w:rsidR="00457EB3" w:rsidRDefault="00D44AD6" w:rsidP="000F053B">
      <w:pPr>
        <w:jc w:val="both"/>
      </w:pPr>
      <w:r>
        <w:t xml:space="preserve">Program and fiscal staff must collaborate throughout the grant's duration to ensure that project activities stay within the approved scope of work and that expenditures support authorized program activities. Program staff </w:t>
      </w:r>
      <w:r>
        <w:lastRenderedPageBreak/>
        <w:t>are responsible for overseeing project implementation, tracking progress toward deliverables, and ensuring that reporting and performance requirements are fulfilled. Fiscal staff are responsible for setting up the grant in the proper financial systems, monitoring expenditures, maintaining financial records, and ensuring compliance with applicable accounting and financial management standards.</w:t>
      </w:r>
    </w:p>
    <w:p w14:paraId="4CB676D6" w14:textId="77777777" w:rsidR="008B17D7" w:rsidRPr="00457EB3" w:rsidRDefault="008B17D7" w:rsidP="000F053B">
      <w:pPr>
        <w:jc w:val="both"/>
      </w:pPr>
    </w:p>
    <w:p w14:paraId="08F686CA" w14:textId="690FAAC1" w:rsidR="00457EB3" w:rsidRPr="00457EB3" w:rsidRDefault="000F053B" w:rsidP="000F053B">
      <w:pPr>
        <w:jc w:val="both"/>
      </w:pPr>
      <w:r>
        <w:t>Effective program and financial oversight together ensure that grant funds are used responsibly, project goals are met, and all reporting, compliance, and audit requirements are fulfilled. Keeping clear documentation, monitoring performance and expenditures, and coordinating between programmatic and fiscal functions promote transparency, accountability, and successful grant management throughout the period of performance.</w:t>
      </w:r>
    </w:p>
    <w:p w14:paraId="587338EE" w14:textId="77777777" w:rsidR="00457EB3" w:rsidRDefault="00457EB3" w:rsidP="008259AE">
      <w:pPr>
        <w:pStyle w:val="Heading1"/>
      </w:pPr>
    </w:p>
    <w:p w14:paraId="7DBCDE00" w14:textId="557FA39B" w:rsidR="00457EB3" w:rsidRPr="00614150" w:rsidRDefault="00CA0B5A" w:rsidP="00614150">
      <w:pPr>
        <w:pStyle w:val="Heading3"/>
      </w:pPr>
      <w:bookmarkStart w:id="19" w:name="_Toc225934262"/>
      <w:r w:rsidRPr="00614150">
        <w:t xml:space="preserve">Financial </w:t>
      </w:r>
      <w:r w:rsidR="008B17D7" w:rsidRPr="00614150">
        <w:t>Management</w:t>
      </w:r>
      <w:bookmarkEnd w:id="19"/>
    </w:p>
    <w:p w14:paraId="4790E120" w14:textId="77777777" w:rsidR="000F053B" w:rsidRDefault="000F053B" w:rsidP="00E118AF"/>
    <w:p w14:paraId="464EB950" w14:textId="026D5867" w:rsidR="00E118AF" w:rsidRPr="00E118AF" w:rsidRDefault="00D70635" w:rsidP="000160CE">
      <w:pPr>
        <w:jc w:val="both"/>
      </w:pPr>
      <w:r>
        <w:t>Effective financial management guarantees that federal grant funds are properly budgeted, tracked, and spent in accordance with applicable cost principles, procurement rules, and financial reporting requirements. Agencies must maintain financial systems and internal controls that accurately monitor obligations and expenditures, prevent overspending, ensure cost allowability, and maintain appropriate segregation of duties. These systems should also support thorough documentation to verify that expenditures are authorized, correctly recorded, and aligned with the approved grant budget.</w:t>
      </w:r>
    </w:p>
    <w:p w14:paraId="14597F68" w14:textId="77777777" w:rsidR="00E118AF" w:rsidRPr="00E118AF" w:rsidRDefault="00E118AF" w:rsidP="000160CE">
      <w:pPr>
        <w:jc w:val="both"/>
      </w:pPr>
    </w:p>
    <w:p w14:paraId="55281664" w14:textId="55539F59" w:rsidR="00E118AF" w:rsidRPr="00E118AF" w:rsidRDefault="00D70635" w:rsidP="000160CE">
      <w:pPr>
        <w:jc w:val="both"/>
      </w:pPr>
      <w:r>
        <w:t>When agency personnel are funded partly or fully with federal grant funds, agencies must keep proper time and effort certification to document the portion of staff time charged to the grant. Time certification records must accurately show the work performed and provide reasonable assurance that salary and wage charges to federal awards are supported by documentation consistent with federal standards. Keeping accurate time records ensures that personnel costs charged to the grant are allowable and properly supported.</w:t>
      </w:r>
    </w:p>
    <w:p w14:paraId="7443BCC4" w14:textId="77777777" w:rsidR="00E118AF" w:rsidRPr="00E118AF" w:rsidRDefault="00E118AF" w:rsidP="000160CE">
      <w:pPr>
        <w:jc w:val="both"/>
      </w:pPr>
    </w:p>
    <w:p w14:paraId="7DEFDC7B" w14:textId="27E8851A" w:rsidR="00E118AF" w:rsidRPr="00E118AF" w:rsidRDefault="00E118AF" w:rsidP="000160CE">
      <w:pPr>
        <w:jc w:val="both"/>
      </w:pPr>
      <w:r w:rsidRPr="00E118AF">
        <w:t xml:space="preserve">Agencies should regularly review </w:t>
      </w:r>
      <w:r w:rsidR="00B51162">
        <w:t xml:space="preserve">and reconcile </w:t>
      </w:r>
      <w:r w:rsidRPr="00E118AF">
        <w:t>grant expenditures to ensure that spending remains consistent with the approved budget and authorized activities. Maintaining accurate financial records, including personnel cost documentation, supports financial reporting, audit readiness, and compliance with federal and state grant management requirements.</w:t>
      </w:r>
    </w:p>
    <w:p w14:paraId="0493401F" w14:textId="465E800B" w:rsidR="00B92963" w:rsidRPr="000E2031" w:rsidRDefault="00750AD3" w:rsidP="000E2031">
      <w:pPr>
        <w:widowControl/>
        <w:autoSpaceDE/>
        <w:autoSpaceDN/>
        <w:ind w:left="360"/>
        <w:rPr>
          <w:rStyle w:val="SubtleEmphasis"/>
        </w:rPr>
      </w:pPr>
      <w:r w:rsidRPr="00A679AC">
        <w:rPr>
          <w:rStyle w:val="Strong"/>
          <w:noProof/>
        </w:rPr>
        <mc:AlternateContent>
          <mc:Choice Requires="wps">
            <w:drawing>
              <wp:anchor distT="45720" distB="45720" distL="114300" distR="114300" simplePos="0" relativeHeight="251658246" behindDoc="0" locked="0" layoutInCell="1" allowOverlap="1" wp14:anchorId="70A0D2BC" wp14:editId="32B0B4DC">
                <wp:simplePos x="0" y="0"/>
                <wp:positionH relativeFrom="column">
                  <wp:posOffset>0</wp:posOffset>
                </wp:positionH>
                <wp:positionV relativeFrom="paragraph">
                  <wp:posOffset>197485</wp:posOffset>
                </wp:positionV>
                <wp:extent cx="6565900" cy="1404620"/>
                <wp:effectExtent l="0" t="0" r="25400" b="27305"/>
                <wp:wrapSquare wrapText="bothSides"/>
                <wp:docPr id="527742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404620"/>
                        </a:xfrm>
                        <a:prstGeom prst="rect">
                          <a:avLst/>
                        </a:prstGeom>
                        <a:solidFill>
                          <a:srgbClr val="FFFFFF"/>
                        </a:solidFill>
                        <a:ln w="9525">
                          <a:solidFill>
                            <a:srgbClr val="004D4C"/>
                          </a:solidFill>
                          <a:miter lim="800000"/>
                          <a:headEnd/>
                          <a:tailEnd/>
                        </a:ln>
                      </wps:spPr>
                      <wps:txbx>
                        <w:txbxContent>
                          <w:p w14:paraId="584E8533" w14:textId="481F67B2" w:rsidR="007868D4" w:rsidRDefault="007868D4" w:rsidP="007868D4">
                            <w:pPr>
                              <w:pStyle w:val="BestPractice"/>
                            </w:pPr>
                            <w:r>
                              <w:t xml:space="preserve">TIP – Contact federalgrant.bureau@dfa.nm.gov and request a copy of </w:t>
                            </w:r>
                            <w:r w:rsidR="005756EE">
                              <w:t>Federal Grant Budget Actuals Tracking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A0D2BC" id="_x0000_s1033" type="#_x0000_t202" style="position:absolute;left:0;text-align:left;margin-left:0;margin-top:15.55pt;width:517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" strokecolor="#004d4c">
                <v:textbox style="mso-fit-shape-to-text:t">
                  <w:txbxContent>
                    <w:p w14:paraId="584E8533" w14:textId="481F67B2" w:rsidR="007868D4" w:rsidRDefault="007868D4" w:rsidP="007868D4">
                      <w:pPr>
                        <w:pStyle w:val="BestPractice"/>
                      </w:pPr>
                      <w:r>
                        <w:t xml:space="preserve">TIP – Contact federalgrant.bureau@dfa.nm.gov and request a copy of </w:t>
                      </w:r>
                      <w:r w:rsidR="005756EE">
                        <w:t>Federal Grant Budget Actuals Tracking</w:t>
                      </w:r>
                    </w:p>
                  </w:txbxContent>
                </v:textbox>
                <w10:wrap type="square"/>
              </v:shape>
            </w:pict>
          </mc:Fallback>
        </mc:AlternateContent>
      </w:r>
    </w:p>
    <w:p w14:paraId="4BE601EC" w14:textId="230473D6" w:rsidR="00CD37AA" w:rsidRPr="005756EE" w:rsidRDefault="00CD37AA" w:rsidP="00CD37AA">
      <w:pPr>
        <w:rPr>
          <w:rStyle w:val="IntenseReference"/>
          <w:b w:val="0"/>
          <w:highlight w:val="yellow"/>
        </w:rPr>
      </w:pPr>
      <w:r w:rsidRPr="005756EE">
        <w:rPr>
          <w:rStyle w:val="IntenseReference"/>
          <w:b w:val="0"/>
          <w:highlight w:val="yellow"/>
        </w:rPr>
        <w:t>Agency</w:t>
      </w:r>
      <w:r w:rsidRPr="005756EE">
        <w:rPr>
          <w:rStyle w:val="IntenseReference"/>
          <w:rFonts w:ascii="Cambria Math" w:hAnsi="Cambria Math" w:cs="Cambria Math"/>
          <w:b w:val="0"/>
          <w:highlight w:val="yellow"/>
        </w:rPr>
        <w:t>‑</w:t>
      </w:r>
      <w:r w:rsidRPr="005756EE">
        <w:rPr>
          <w:rStyle w:val="IntenseReference"/>
          <w:b w:val="0"/>
          <w:highlight w:val="yellow"/>
        </w:rPr>
        <w:t xml:space="preserve">specific procedures </w:t>
      </w:r>
      <w:r w:rsidR="00A6187E">
        <w:rPr>
          <w:rStyle w:val="IntenseReference"/>
          <w:b w:val="0"/>
          <w:highlight w:val="yellow"/>
        </w:rPr>
        <w:t xml:space="preserve">regarding </w:t>
      </w:r>
      <w:r w:rsidR="001C61EB" w:rsidRPr="005756EE">
        <w:rPr>
          <w:rStyle w:val="IntenseReference"/>
          <w:b w:val="0"/>
          <w:highlight w:val="yellow"/>
        </w:rPr>
        <w:t>financial management</w:t>
      </w:r>
      <w:r w:rsidR="0038720C" w:rsidRPr="005756EE">
        <w:rPr>
          <w:rStyle w:val="IntenseReference"/>
          <w:b w:val="0"/>
          <w:highlight w:val="yellow"/>
        </w:rPr>
        <w:t>, segr</w:t>
      </w:r>
      <w:r w:rsidR="00B96183" w:rsidRPr="005756EE">
        <w:rPr>
          <w:rStyle w:val="IntenseReference"/>
          <w:b w:val="0"/>
          <w:highlight w:val="yellow"/>
        </w:rPr>
        <w:t>eg</w:t>
      </w:r>
      <w:r w:rsidR="0038720C" w:rsidRPr="005756EE">
        <w:rPr>
          <w:rStyle w:val="IntenseReference"/>
          <w:b w:val="0"/>
          <w:highlight w:val="yellow"/>
        </w:rPr>
        <w:t>ation of duties</w:t>
      </w:r>
      <w:r w:rsidR="00773E44" w:rsidRPr="005756EE">
        <w:rPr>
          <w:rStyle w:val="IntenseReference"/>
          <w:b w:val="0"/>
          <w:highlight w:val="yellow"/>
        </w:rPr>
        <w:t xml:space="preserve">, </w:t>
      </w:r>
      <w:r w:rsidR="00692FB8" w:rsidRPr="005756EE">
        <w:rPr>
          <w:rStyle w:val="IntenseReference"/>
          <w:b w:val="0"/>
          <w:bCs w:val="0"/>
          <w:highlight w:val="yellow"/>
        </w:rPr>
        <w:t xml:space="preserve">equipment policy, </w:t>
      </w:r>
      <w:r w:rsidR="003E5D36" w:rsidRPr="005756EE">
        <w:rPr>
          <w:rStyle w:val="IntenseReference"/>
          <w:b w:val="0"/>
          <w:highlight w:val="yellow"/>
        </w:rPr>
        <w:t xml:space="preserve">Time and Effort certification, </w:t>
      </w:r>
      <w:r w:rsidR="00773E44" w:rsidRPr="005756EE">
        <w:rPr>
          <w:rStyle w:val="IntenseReference"/>
          <w:b w:val="0"/>
          <w:highlight w:val="yellow"/>
        </w:rPr>
        <w:t>BUDGET ADJUSTMENT REQUESTS</w:t>
      </w:r>
      <w:r w:rsidR="00F255DC" w:rsidRPr="79F6CEDF">
        <w:rPr>
          <w:rStyle w:val="IntenseReference"/>
          <w:b w:val="0"/>
          <w:bCs w:val="0"/>
          <w:highlight w:val="yellow"/>
        </w:rPr>
        <w:t xml:space="preserve">, </w:t>
      </w:r>
      <w:proofErr w:type="spellStart"/>
      <w:r w:rsidR="00F255DC" w:rsidRPr="79F6CEDF">
        <w:rPr>
          <w:rStyle w:val="IntenseReference"/>
          <w:b w:val="0"/>
          <w:bCs w:val="0"/>
          <w:highlight w:val="yellow"/>
        </w:rPr>
        <w:t>reconciliations,</w:t>
      </w:r>
      <w:r w:rsidR="001C61EB" w:rsidRPr="005756EE">
        <w:rPr>
          <w:rStyle w:val="IntenseReference"/>
          <w:b w:val="0"/>
          <w:highlight w:val="yellow"/>
        </w:rPr>
        <w:t>and</w:t>
      </w:r>
      <w:proofErr w:type="spellEnd"/>
      <w:r w:rsidR="001C61EB" w:rsidRPr="005756EE">
        <w:rPr>
          <w:rStyle w:val="IntenseReference"/>
          <w:b w:val="0"/>
          <w:highlight w:val="yellow"/>
        </w:rPr>
        <w:t xml:space="preserve"> drawdowns</w:t>
      </w:r>
      <w:r w:rsidRPr="005756EE">
        <w:rPr>
          <w:rStyle w:val="IntenseReference"/>
          <w:b w:val="0"/>
          <w:highlight w:val="yellow"/>
        </w:rPr>
        <w:t>. (placeholder section)</w:t>
      </w:r>
    </w:p>
    <w:p w14:paraId="62748154" w14:textId="77777777" w:rsidR="00886510" w:rsidRPr="00886510" w:rsidRDefault="00886510" w:rsidP="008259AE">
      <w:pPr>
        <w:pStyle w:val="Heading1"/>
      </w:pPr>
    </w:p>
    <w:p w14:paraId="7CE0A8F5" w14:textId="0BD6C087" w:rsidR="00B92963" w:rsidRPr="001168DE" w:rsidRDefault="00B92963" w:rsidP="00614150">
      <w:pPr>
        <w:pStyle w:val="Heading3"/>
      </w:pPr>
      <w:bookmarkStart w:id="20" w:name="_Toc225934263"/>
      <w:r w:rsidRPr="001168DE">
        <w:t>P</w:t>
      </w:r>
      <w:r w:rsidR="00BA1B70">
        <w:t>rogram Management</w:t>
      </w:r>
      <w:bookmarkEnd w:id="20"/>
    </w:p>
    <w:p w14:paraId="08B353F9" w14:textId="77777777" w:rsidR="000160CE" w:rsidRDefault="000160CE" w:rsidP="00353D01"/>
    <w:p w14:paraId="5B059C5D" w14:textId="77777777" w:rsidR="000160CE" w:rsidRDefault="000160CE" w:rsidP="000160CE">
      <w:pPr>
        <w:jc w:val="both"/>
      </w:pPr>
      <w:r>
        <w:t>Effective program management guarantees that grant-funded activities align with the approved scope of work and achieve the intended program objectives. Program managers are responsible for overseeing project implementation, tracking deliverables and milestones, and comparing actual performance to expected outcomes. Regular performance measurement helps ensure activities stay consistent with grant requirements and program goals.</w:t>
      </w:r>
    </w:p>
    <w:p w14:paraId="6E5A6082" w14:textId="77777777" w:rsidR="000160CE" w:rsidRDefault="000160CE" w:rsidP="000160CE">
      <w:pPr>
        <w:jc w:val="both"/>
      </w:pPr>
    </w:p>
    <w:p w14:paraId="7E94E166" w14:textId="77777777" w:rsidR="000160CE" w:rsidRDefault="000160CE" w:rsidP="000160CE">
      <w:pPr>
        <w:jc w:val="both"/>
      </w:pPr>
      <w:r>
        <w:t xml:space="preserve">Program managers must also keep documentation that supports performance results and demonstrates that activities, outcomes, and deliverables were completed as approved. For state-funded programs, oversight must align with legislative performance measures and Department of Finance and Administration (DFA) reporting </w:t>
      </w:r>
      <w:r>
        <w:lastRenderedPageBreak/>
        <w:t>requirements, ensuring documentation supports statutory intent and necessary reporting.</w:t>
      </w:r>
    </w:p>
    <w:p w14:paraId="241DB5E7" w14:textId="77777777" w:rsidR="000160CE" w:rsidRDefault="000160CE" w:rsidP="000160CE">
      <w:pPr>
        <w:jc w:val="both"/>
      </w:pPr>
    </w:p>
    <w:p w14:paraId="592292E6" w14:textId="66C9F6D8" w:rsidR="00353D01" w:rsidRPr="00353D01" w:rsidRDefault="000160CE" w:rsidP="000160CE">
      <w:pPr>
        <w:jc w:val="both"/>
      </w:pPr>
      <w:r>
        <w:t>Successful program management also involves coordinating with fiscal and procurement staff to ensure that program activities, expenditures, and contracts remain compliant with grant requirements. This coordination ensures that implementation, spending, and reporting stay aligned throughout the grant period.</w:t>
      </w:r>
    </w:p>
    <w:p w14:paraId="17E57847" w14:textId="77777777" w:rsidR="00B7182D" w:rsidRPr="000F1BF6" w:rsidRDefault="00B7182D" w:rsidP="00B7182D"/>
    <w:p w14:paraId="704922FC" w14:textId="582009C7" w:rsidR="00B92963" w:rsidRDefault="005D7A6E" w:rsidP="00614150">
      <w:pPr>
        <w:pStyle w:val="Heading3"/>
      </w:pPr>
      <w:bookmarkStart w:id="21" w:name="_Toc225934264"/>
      <w:r>
        <w:t>Subrecipient and contractor monitoring</w:t>
      </w:r>
      <w:bookmarkEnd w:id="21"/>
    </w:p>
    <w:p w14:paraId="5A73CCEA" w14:textId="77777777" w:rsidR="000160CE" w:rsidRDefault="000160CE" w:rsidP="00D32641"/>
    <w:p w14:paraId="1CFBFDC3" w14:textId="77777777" w:rsidR="009566A9" w:rsidRDefault="009566A9" w:rsidP="009566A9">
      <w:pPr>
        <w:jc w:val="both"/>
      </w:pPr>
      <w:r>
        <w:t>Subrecipient and contractor monitoring is a vital part of both programmatic and financial management. Effective monitoring ensures that grant funds are used according to the award's terms and that external entities perform the activities and deliverables outlined in their agreements. Monitoring helps agencies verify that contractors provide the goods and services specified in their contracts and that subrecipients carry out programmatic activities in line with the approved scope of work and relevant grant requirements.</w:t>
      </w:r>
    </w:p>
    <w:p w14:paraId="45D53E5C" w14:textId="77777777" w:rsidR="009566A9" w:rsidRDefault="009566A9" w:rsidP="009566A9">
      <w:pPr>
        <w:jc w:val="both"/>
      </w:pPr>
    </w:p>
    <w:p w14:paraId="641B91D1" w14:textId="77777777" w:rsidR="009566A9" w:rsidRDefault="009566A9" w:rsidP="009566A9">
      <w:pPr>
        <w:jc w:val="both"/>
      </w:pPr>
      <w:r>
        <w:t>Agencies must oversee performance, expenditures, and compliance throughout the period of performance to confirm that deliverables are completed and costs are permissible. Monitoring activities may include reviewing progress reports, invoices, and supporting documents; verifying that work aligns with contractual or subaward obligations; and maintaining records that demonstrate grant funds are used for authorized purposes. These oversight efforts help ensure contractors and subrecipients are accountable to the terms of their agreements.</w:t>
      </w:r>
    </w:p>
    <w:p w14:paraId="36CF8B9B" w14:textId="77777777" w:rsidR="009566A9" w:rsidRDefault="009566A9" w:rsidP="009566A9">
      <w:pPr>
        <w:jc w:val="both"/>
      </w:pPr>
    </w:p>
    <w:p w14:paraId="6A000ABB" w14:textId="2880E2E4" w:rsidR="003D6E44" w:rsidRDefault="009566A9" w:rsidP="009566A9">
      <w:pPr>
        <w:jc w:val="both"/>
      </w:pPr>
      <w:r>
        <w:t>Monitoring also supports risk management and accountability by helping agencies identify instances of non-compliance and take corrective actions when necessary. If performance issues, reporting deficiencies, or financial irregularities occur, agencies should document the problems, communicate expectations for resolution, and implement appropriate corrective measures consistent with the agreement's terms. Keeping records of monitoring activities and corrective actions demonstrates proper oversight and supports readiness for audits.</w:t>
      </w:r>
      <w:r w:rsidR="00750AD3" w:rsidRPr="00A679AC">
        <w:rPr>
          <w:rStyle w:val="UnresolvedMention"/>
          <w:noProof/>
        </w:rPr>
        <mc:AlternateContent>
          <mc:Choice Requires="wps">
            <w:drawing>
              <wp:anchor distT="45720" distB="45720" distL="114300" distR="114300" simplePos="0" relativeHeight="251658247" behindDoc="0" locked="0" layoutInCell="1" allowOverlap="1" wp14:anchorId="282FECF9" wp14:editId="22BCE3D7">
                <wp:simplePos x="0" y="0"/>
                <wp:positionH relativeFrom="column">
                  <wp:posOffset>0</wp:posOffset>
                </wp:positionH>
                <wp:positionV relativeFrom="paragraph">
                  <wp:posOffset>149225</wp:posOffset>
                </wp:positionV>
                <wp:extent cx="6565900" cy="1404620"/>
                <wp:effectExtent l="0" t="0" r="25400" b="27305"/>
                <wp:wrapSquare wrapText="bothSides"/>
                <wp:docPr id="1670712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404620"/>
                        </a:xfrm>
                        <a:prstGeom prst="rect">
                          <a:avLst/>
                        </a:prstGeom>
                        <a:solidFill>
                          <a:srgbClr val="FFFFFF"/>
                        </a:solidFill>
                        <a:ln w="9525">
                          <a:solidFill>
                            <a:srgbClr val="004D4C"/>
                          </a:solidFill>
                          <a:miter lim="800000"/>
                          <a:headEnd/>
                          <a:tailEnd/>
                        </a:ln>
                      </wps:spPr>
                      <wps:txbx>
                        <w:txbxContent>
                          <w:p w14:paraId="7D2B8BCA" w14:textId="07EBF9CA" w:rsidR="00FE335D" w:rsidRDefault="00724863" w:rsidP="00724863">
                            <w:pPr>
                              <w:pStyle w:val="BestPractice"/>
                            </w:pPr>
                            <w:r>
                              <w:t xml:space="preserve">TIP – </w:t>
                            </w:r>
                            <w:r w:rsidR="00FE335D">
                              <w:t xml:space="preserve">Desk reviews or site visits should happen at least once per year. Contact federalgrant.bureau@dfa.nm.gov and request a copy of </w:t>
                            </w:r>
                            <w:r w:rsidR="0073444D">
                              <w:t>Corrective Action Plan Template.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2FECF9" id="_x0000_s1034" type="#_x0000_t202" style="position:absolute;left:0;text-align:left;margin-left:0;margin-top:11.75pt;width:517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" strokecolor="#004d4c">
                <v:textbox style="mso-fit-shape-to-text:t">
                  <w:txbxContent>
                    <w:p w14:paraId="7D2B8BCA" w14:textId="07EBF9CA" w:rsidR="00FE335D" w:rsidRDefault="00724863" w:rsidP="00724863">
                      <w:pPr>
                        <w:pStyle w:val="BestPractice"/>
                      </w:pPr>
                      <w:r>
                        <w:t xml:space="preserve">TIP – </w:t>
                      </w:r>
                      <w:r w:rsidR="00FE335D">
                        <w:t xml:space="preserve">Desk reviews or site visits should happen at least once per year. Contact federalgrant.bureau@dfa.nm.gov and request a copy of </w:t>
                      </w:r>
                      <w:r w:rsidR="0073444D">
                        <w:t>Corrective Action Plan Template.</w:t>
                      </w:r>
                    </w:p>
                  </w:txbxContent>
                </v:textbox>
                <w10:wrap type="square"/>
              </v:shape>
            </w:pict>
          </mc:Fallback>
        </mc:AlternateContent>
      </w:r>
    </w:p>
    <w:p w14:paraId="1EA895B5" w14:textId="2C6E8B97" w:rsidR="003D6E44" w:rsidRPr="009B4DBB" w:rsidRDefault="003D6E44" w:rsidP="003D6E44">
      <w:pPr>
        <w:rPr>
          <w:rStyle w:val="IntenseReference"/>
          <w:highlight w:val="yellow"/>
        </w:rPr>
      </w:pPr>
      <w:r w:rsidRPr="009B4DBB">
        <w:rPr>
          <w:rStyle w:val="IntenseReference"/>
          <w:highlight w:val="yellow"/>
        </w:rPr>
        <w:t>Agency</w:t>
      </w:r>
      <w:r w:rsidRPr="009B4DBB">
        <w:rPr>
          <w:rStyle w:val="IntenseReference"/>
          <w:rFonts w:ascii="Cambria Math" w:hAnsi="Cambria Math" w:cs="Cambria Math"/>
          <w:highlight w:val="yellow"/>
        </w:rPr>
        <w:t>‑</w:t>
      </w:r>
      <w:r w:rsidRPr="009B4DBB">
        <w:rPr>
          <w:rStyle w:val="IntenseReference"/>
          <w:highlight w:val="yellow"/>
        </w:rPr>
        <w:t>specific procedures</w:t>
      </w:r>
      <w:r w:rsidR="00B73304">
        <w:rPr>
          <w:rStyle w:val="IntenseReference"/>
          <w:highlight w:val="yellow"/>
        </w:rPr>
        <w:t xml:space="preserve"> relating to monitoring</w:t>
      </w:r>
      <w:r w:rsidR="00012CF6">
        <w:rPr>
          <w:rStyle w:val="IntenseReference"/>
          <w:highlight w:val="yellow"/>
        </w:rPr>
        <w:t xml:space="preserve"> and non-compliance</w:t>
      </w:r>
      <w:r w:rsidRPr="009B4DBB">
        <w:rPr>
          <w:rStyle w:val="IntenseReference"/>
          <w:highlight w:val="yellow"/>
        </w:rPr>
        <w:t>. (placeholder section)</w:t>
      </w:r>
    </w:p>
    <w:p w14:paraId="74228238" w14:textId="77777777" w:rsidR="003D6E44" w:rsidRPr="00B022E2" w:rsidRDefault="003D6E44" w:rsidP="00B022E2"/>
    <w:p w14:paraId="2512D81F" w14:textId="6D1D4A2D" w:rsidR="00B92963" w:rsidRDefault="00B92963" w:rsidP="008259AE">
      <w:pPr>
        <w:pStyle w:val="Heading1"/>
      </w:pPr>
      <w:bookmarkStart w:id="22" w:name="_Toc225934265"/>
      <w:r w:rsidRPr="001168DE">
        <w:t>REPORTING</w:t>
      </w:r>
      <w:bookmarkEnd w:id="22"/>
    </w:p>
    <w:p w14:paraId="0D471F6E" w14:textId="77777777" w:rsidR="00C87F47" w:rsidRDefault="00C87F47" w:rsidP="002268D8"/>
    <w:p w14:paraId="18518CFB" w14:textId="77777777" w:rsidR="00883867" w:rsidRDefault="00883867" w:rsidP="00C87F47">
      <w:pPr>
        <w:jc w:val="both"/>
      </w:pPr>
      <w:r>
        <w:t>Reporting to funders is a vital part of grant management that ensures transparency, accountability, and compliance with grant terms. Programmatic and financial reports give funding agencies insight into how grant funds are being spent, the progress of project activities, and whether the grant's goals are being met. Reports must be timely, accurate, and backed by proper documentation to show responsible use of public funds and adherence to grant requirements.</w:t>
      </w:r>
    </w:p>
    <w:p w14:paraId="3417C7EC" w14:textId="77777777" w:rsidR="00883867" w:rsidRDefault="00883867" w:rsidP="00C87F47">
      <w:pPr>
        <w:jc w:val="both"/>
      </w:pPr>
    </w:p>
    <w:p w14:paraId="1A958F6C" w14:textId="77777777" w:rsidR="00883867" w:rsidRDefault="00883867" w:rsidP="00C87F47">
      <w:pPr>
        <w:jc w:val="both"/>
      </w:pPr>
      <w:r>
        <w:t>Programmatic reports track project implementation, progress toward deliverables and milestones, and performance outcomes in relation to the objectives set in the grant agreement. Financial reports detail expenditures, obligations, and remaining balances to verify that grant funds are used according to the approved budget and applicable cost principles. All financial reports must match the SHARE financial system to ensure reported expenditures align with the agency’s official accounting records and state financial reporting standards.</w:t>
      </w:r>
    </w:p>
    <w:p w14:paraId="309317FC" w14:textId="77777777" w:rsidR="00883867" w:rsidRDefault="00883867" w:rsidP="00C87F47">
      <w:pPr>
        <w:jc w:val="both"/>
      </w:pPr>
    </w:p>
    <w:p w14:paraId="4157F5CA" w14:textId="1B4103B8" w:rsidR="001C1C26" w:rsidRPr="001168DE" w:rsidRDefault="00883867" w:rsidP="00C87F47">
      <w:pPr>
        <w:jc w:val="both"/>
      </w:pPr>
      <w:r>
        <w:t>Effective reporting depends on coordination between program and fiscal staff to ensure all submitted information is accurate, complete, and well-supported. Consistent, well-documented reporting practices help maintain compliance with grant conditions, enhance oversight, and prepare the organization for audits throughout the grant period.</w:t>
      </w:r>
    </w:p>
    <w:p w14:paraId="4B1252BA" w14:textId="77777777" w:rsidR="00FE7AAE" w:rsidRDefault="00FE7AAE" w:rsidP="00FE7AAE"/>
    <w:p w14:paraId="5EF9E8A3" w14:textId="319195D4" w:rsidR="00B92963" w:rsidRPr="000F1BF6" w:rsidRDefault="00B92963" w:rsidP="00FE7AAE">
      <w:r w:rsidRPr="000F1BF6">
        <w:t>Reporting obligations may include:</w:t>
      </w:r>
    </w:p>
    <w:p w14:paraId="345EAB14" w14:textId="77777777" w:rsidR="00B92963" w:rsidRPr="000F1BF6" w:rsidRDefault="00B92963" w:rsidP="00FE7AAE">
      <w:pPr>
        <w:ind w:left="360"/>
      </w:pPr>
      <w:r w:rsidRPr="000F1BF6">
        <w:t>Federal:</w:t>
      </w:r>
    </w:p>
    <w:p w14:paraId="2ED5ED64" w14:textId="77777777" w:rsidR="00B92963" w:rsidRDefault="00B92963" w:rsidP="00894EC0">
      <w:pPr>
        <w:widowControl/>
        <w:numPr>
          <w:ilvl w:val="0"/>
          <w:numId w:val="6"/>
        </w:numPr>
        <w:tabs>
          <w:tab w:val="clear" w:pos="720"/>
          <w:tab w:val="num" w:pos="1080"/>
        </w:tabs>
        <w:autoSpaceDE/>
        <w:autoSpaceDN/>
        <w:ind w:left="1080"/>
      </w:pPr>
      <w:r w:rsidRPr="000F1BF6">
        <w:t>SF-425 Financial Reports</w:t>
      </w:r>
    </w:p>
    <w:p w14:paraId="13CDF5FF" w14:textId="1BF8B393" w:rsidR="00B83EC3" w:rsidRPr="000F1BF6" w:rsidRDefault="00B83EC3" w:rsidP="00894EC0">
      <w:pPr>
        <w:widowControl/>
        <w:numPr>
          <w:ilvl w:val="0"/>
          <w:numId w:val="6"/>
        </w:numPr>
        <w:tabs>
          <w:tab w:val="clear" w:pos="720"/>
          <w:tab w:val="num" w:pos="1080"/>
        </w:tabs>
        <w:autoSpaceDE/>
        <w:autoSpaceDN/>
        <w:ind w:left="1080"/>
      </w:pPr>
      <w:r w:rsidRPr="00B83EC3">
        <w:t>Federal Funding Accountability and Transparency Act (FFATA</w:t>
      </w:r>
      <w:r w:rsidR="00E04026">
        <w:t>)</w:t>
      </w:r>
      <w:r w:rsidR="00AB27B6">
        <w:t xml:space="preserve"> via Sam.gov</w:t>
      </w:r>
      <w:r w:rsidRPr="00B83EC3">
        <w:tab/>
      </w:r>
      <w:r w:rsidRPr="00B83EC3">
        <w:tab/>
      </w:r>
      <w:r w:rsidRPr="00B83EC3">
        <w:tab/>
      </w:r>
      <w:r w:rsidRPr="00B83EC3">
        <w:tab/>
      </w:r>
    </w:p>
    <w:p w14:paraId="6000E7F9" w14:textId="0D56501D" w:rsidR="00B92963" w:rsidRPr="000F1BF6" w:rsidRDefault="00500185" w:rsidP="00894EC0">
      <w:pPr>
        <w:widowControl/>
        <w:numPr>
          <w:ilvl w:val="0"/>
          <w:numId w:val="6"/>
        </w:numPr>
        <w:tabs>
          <w:tab w:val="clear" w:pos="720"/>
          <w:tab w:val="num" w:pos="1080"/>
        </w:tabs>
        <w:autoSpaceDE/>
        <w:autoSpaceDN/>
        <w:ind w:left="1080"/>
      </w:pPr>
      <w:r>
        <w:t>Agency specific reports</w:t>
      </w:r>
    </w:p>
    <w:p w14:paraId="1DD022B6" w14:textId="77777777" w:rsidR="00B92963" w:rsidRPr="000F1BF6" w:rsidRDefault="00B92963" w:rsidP="00894EC0">
      <w:pPr>
        <w:widowControl/>
        <w:numPr>
          <w:ilvl w:val="0"/>
          <w:numId w:val="6"/>
        </w:numPr>
        <w:tabs>
          <w:tab w:val="clear" w:pos="720"/>
          <w:tab w:val="num" w:pos="1080"/>
        </w:tabs>
        <w:autoSpaceDE/>
        <w:autoSpaceDN/>
        <w:ind w:left="1080"/>
      </w:pPr>
      <w:r w:rsidRPr="000F1BF6">
        <w:t>Treasury portal reporting</w:t>
      </w:r>
    </w:p>
    <w:p w14:paraId="44F8879B" w14:textId="4C1ADB2A" w:rsidR="0096685C" w:rsidRPr="000F1BF6" w:rsidRDefault="001B5F1E" w:rsidP="00894EC0">
      <w:pPr>
        <w:widowControl/>
        <w:numPr>
          <w:ilvl w:val="0"/>
          <w:numId w:val="6"/>
        </w:numPr>
        <w:tabs>
          <w:tab w:val="clear" w:pos="720"/>
          <w:tab w:val="num" w:pos="1080"/>
        </w:tabs>
        <w:autoSpaceDE/>
        <w:autoSpaceDN/>
        <w:ind w:left="1080"/>
      </w:pPr>
      <w:r>
        <w:t>Federal Single Audit – Schedule of Expenditures of Federal Awards</w:t>
      </w:r>
    </w:p>
    <w:p w14:paraId="54D05F22" w14:textId="77777777" w:rsidR="00B92963" w:rsidRPr="000F1BF6" w:rsidRDefault="00B92963" w:rsidP="00FE7AAE">
      <w:pPr>
        <w:ind w:left="360"/>
      </w:pPr>
      <w:r w:rsidRPr="000F1BF6">
        <w:t>State:</w:t>
      </w:r>
    </w:p>
    <w:p w14:paraId="58DE6BF9" w14:textId="77777777" w:rsidR="00B92963" w:rsidRPr="000F1BF6" w:rsidRDefault="00B92963" w:rsidP="00894EC0">
      <w:pPr>
        <w:widowControl/>
        <w:numPr>
          <w:ilvl w:val="0"/>
          <w:numId w:val="7"/>
        </w:numPr>
        <w:tabs>
          <w:tab w:val="clear" w:pos="720"/>
          <w:tab w:val="num" w:pos="1080"/>
        </w:tabs>
        <w:autoSpaceDE/>
        <w:autoSpaceDN/>
        <w:ind w:left="1080"/>
      </w:pPr>
      <w:r w:rsidRPr="000F1BF6">
        <w:t>DFA budget reporting</w:t>
      </w:r>
    </w:p>
    <w:p w14:paraId="67E11A61" w14:textId="77777777" w:rsidR="00B92963" w:rsidRPr="000F1BF6" w:rsidRDefault="00B92963" w:rsidP="00894EC0">
      <w:pPr>
        <w:widowControl/>
        <w:numPr>
          <w:ilvl w:val="0"/>
          <w:numId w:val="7"/>
        </w:numPr>
        <w:tabs>
          <w:tab w:val="clear" w:pos="720"/>
          <w:tab w:val="num" w:pos="1080"/>
        </w:tabs>
        <w:autoSpaceDE/>
        <w:autoSpaceDN/>
        <w:ind w:left="1080"/>
      </w:pPr>
      <w:r w:rsidRPr="000F1BF6">
        <w:t>Legislative Finance Committee reporting</w:t>
      </w:r>
    </w:p>
    <w:p w14:paraId="41BDDCCC" w14:textId="77777777" w:rsidR="00B92963" w:rsidRPr="000F1BF6" w:rsidRDefault="00B92963" w:rsidP="00894EC0">
      <w:pPr>
        <w:widowControl/>
        <w:numPr>
          <w:ilvl w:val="0"/>
          <w:numId w:val="7"/>
        </w:numPr>
        <w:tabs>
          <w:tab w:val="clear" w:pos="720"/>
          <w:tab w:val="num" w:pos="1080"/>
        </w:tabs>
        <w:autoSpaceDE/>
        <w:autoSpaceDN/>
        <w:ind w:left="1080"/>
      </w:pPr>
      <w:r w:rsidRPr="000F1BF6">
        <w:t>Capital outlay progress reporting</w:t>
      </w:r>
    </w:p>
    <w:p w14:paraId="699B23AF" w14:textId="32CDBC53" w:rsidR="00DA0977" w:rsidRPr="000F1BF6" w:rsidRDefault="00DA0977" w:rsidP="00894EC0">
      <w:pPr>
        <w:widowControl/>
        <w:numPr>
          <w:ilvl w:val="0"/>
          <w:numId w:val="7"/>
        </w:numPr>
        <w:tabs>
          <w:tab w:val="clear" w:pos="720"/>
          <w:tab w:val="num" w:pos="1080"/>
        </w:tabs>
        <w:autoSpaceDE/>
        <w:autoSpaceDN/>
        <w:ind w:left="1080"/>
      </w:pPr>
      <w:r>
        <w:t xml:space="preserve">Agency Financial Statements </w:t>
      </w:r>
    </w:p>
    <w:p w14:paraId="2BCC449E" w14:textId="77777777" w:rsidR="00B92963" w:rsidRPr="000F1BF6" w:rsidRDefault="00B92963" w:rsidP="00FE7AAE">
      <w:pPr>
        <w:ind w:left="360"/>
      </w:pPr>
      <w:r w:rsidRPr="000F1BF6">
        <w:t>Private:</w:t>
      </w:r>
    </w:p>
    <w:p w14:paraId="56713850" w14:textId="77777777" w:rsidR="00B92963" w:rsidRDefault="00B92963" w:rsidP="00894EC0">
      <w:pPr>
        <w:widowControl/>
        <w:numPr>
          <w:ilvl w:val="0"/>
          <w:numId w:val="8"/>
        </w:numPr>
        <w:tabs>
          <w:tab w:val="clear" w:pos="720"/>
          <w:tab w:val="num" w:pos="1080"/>
        </w:tabs>
        <w:autoSpaceDE/>
        <w:autoSpaceDN/>
        <w:ind w:left="1080"/>
      </w:pPr>
      <w:r w:rsidRPr="000F1BF6">
        <w:t>Narrative and financial reporting per agreement</w:t>
      </w:r>
    </w:p>
    <w:p w14:paraId="3023727C" w14:textId="5E2E9857" w:rsidR="00C241A7" w:rsidRPr="00C241A7" w:rsidRDefault="00012CF6" w:rsidP="00750AD3">
      <w:pPr>
        <w:widowControl/>
        <w:autoSpaceDE/>
        <w:autoSpaceDN/>
        <w:ind w:left="360"/>
        <w:rPr>
          <w:rStyle w:val="IntenseReference"/>
          <w:highlight w:val="yellow"/>
        </w:rPr>
      </w:pPr>
      <w:r w:rsidRPr="00A679AC">
        <w:rPr>
          <w:noProof/>
        </w:rPr>
        <mc:AlternateContent>
          <mc:Choice Requires="wps">
            <w:drawing>
              <wp:anchor distT="45720" distB="45720" distL="114300" distR="114300" simplePos="0" relativeHeight="251658248" behindDoc="0" locked="0" layoutInCell="1" allowOverlap="1" wp14:anchorId="3FC28F8F" wp14:editId="72602CA2">
                <wp:simplePos x="0" y="0"/>
                <wp:positionH relativeFrom="column">
                  <wp:posOffset>0</wp:posOffset>
                </wp:positionH>
                <wp:positionV relativeFrom="paragraph">
                  <wp:posOffset>169545</wp:posOffset>
                </wp:positionV>
                <wp:extent cx="6565900" cy="1404620"/>
                <wp:effectExtent l="0" t="0" r="25400" b="27305"/>
                <wp:wrapSquare wrapText="bothSides"/>
                <wp:docPr id="802336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404620"/>
                        </a:xfrm>
                        <a:prstGeom prst="rect">
                          <a:avLst/>
                        </a:prstGeom>
                        <a:solidFill>
                          <a:srgbClr val="FFFFFF"/>
                        </a:solidFill>
                        <a:ln w="9525">
                          <a:solidFill>
                            <a:srgbClr val="004D4C"/>
                          </a:solidFill>
                          <a:miter lim="800000"/>
                          <a:headEnd/>
                          <a:tailEnd/>
                        </a:ln>
                      </wps:spPr>
                      <wps:txbx>
                        <w:txbxContent>
                          <w:p w14:paraId="0D0BF6C2" w14:textId="79F7637D" w:rsidR="00012CF6" w:rsidRDefault="00012CF6" w:rsidP="00012CF6">
                            <w:pPr>
                              <w:pStyle w:val="BestPractice"/>
                            </w:pPr>
                            <w:r>
                              <w:t xml:space="preserve">TIP – </w:t>
                            </w:r>
                            <w:r w:rsidR="00500185" w:rsidRPr="00500185">
                              <w:t>Agencies should retain the source documentation, data files, financial records, calculations, and correspondence used to prepare programmatic and financial reports.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C28F8F" id="_x0000_s1035" type="#_x0000_t202" style="position:absolute;left:0;text-align:left;margin-left:0;margin-top:13.35pt;width:517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" strokecolor="#004d4c">
                <v:textbox style="mso-fit-shape-to-text:t">
                  <w:txbxContent>
                    <w:p w14:paraId="0D0BF6C2" w14:textId="79F7637D" w:rsidR="00012CF6" w:rsidRDefault="00012CF6" w:rsidP="00012CF6">
                      <w:pPr>
                        <w:pStyle w:val="BestPractice"/>
                      </w:pPr>
                      <w:r>
                        <w:t xml:space="preserve">TIP – </w:t>
                      </w:r>
                      <w:r w:rsidR="00500185" w:rsidRPr="00500185">
                        <w:t>Agencies should retain the source documentation, data files, financial records, calculations, and correspondence used to prepare programmatic and financial reports.</w:t>
                      </w:r>
                    </w:p>
                  </w:txbxContent>
                </v:textbox>
                <w10:wrap type="square"/>
              </v:shape>
            </w:pict>
          </mc:Fallback>
        </mc:AlternateContent>
      </w:r>
      <w:r w:rsidR="00C241A7" w:rsidRPr="00C241A7">
        <w:rPr>
          <w:rStyle w:val="IntenseReference"/>
          <w:highlight w:val="yellow"/>
        </w:rPr>
        <w:t>Agency</w:t>
      </w:r>
      <w:r w:rsidR="00C241A7" w:rsidRPr="00C241A7">
        <w:rPr>
          <w:rStyle w:val="IntenseReference"/>
          <w:rFonts w:ascii="Cambria Math" w:hAnsi="Cambria Math" w:cs="Cambria Math"/>
          <w:highlight w:val="yellow"/>
        </w:rPr>
        <w:t>‑</w:t>
      </w:r>
      <w:r w:rsidR="00C241A7" w:rsidRPr="00C241A7">
        <w:rPr>
          <w:rStyle w:val="IntenseReference"/>
          <w:highlight w:val="yellow"/>
        </w:rPr>
        <w:t>specific procedures. (placeholder section)</w:t>
      </w:r>
    </w:p>
    <w:p w14:paraId="78303CB5" w14:textId="77777777" w:rsidR="00B7182D" w:rsidRPr="000F1BF6" w:rsidRDefault="00B7182D" w:rsidP="00C241A7">
      <w:pPr>
        <w:widowControl/>
        <w:autoSpaceDE/>
        <w:autoSpaceDN/>
        <w:ind w:left="720"/>
      </w:pPr>
    </w:p>
    <w:p w14:paraId="7D3A671B" w14:textId="605886A2" w:rsidR="00B92963" w:rsidRPr="001168DE" w:rsidRDefault="00B92963" w:rsidP="008259AE">
      <w:pPr>
        <w:pStyle w:val="Heading1"/>
      </w:pPr>
      <w:bookmarkStart w:id="23" w:name="_Toc225934266"/>
      <w:r w:rsidRPr="001168DE">
        <w:t>GRANT MODIFICATIONS</w:t>
      </w:r>
      <w:bookmarkEnd w:id="23"/>
    </w:p>
    <w:p w14:paraId="7246BA53" w14:textId="77777777" w:rsidR="00883867" w:rsidRDefault="00883867" w:rsidP="00883867">
      <w:pPr>
        <w:widowControl/>
        <w:autoSpaceDE/>
        <w:autoSpaceDN/>
      </w:pPr>
    </w:p>
    <w:p w14:paraId="1209AF42" w14:textId="77777777" w:rsidR="00883867" w:rsidRDefault="00883867" w:rsidP="00883867">
      <w:pPr>
        <w:widowControl/>
        <w:autoSpaceDE/>
        <w:autoSpaceDN/>
        <w:jc w:val="both"/>
      </w:pPr>
      <w:r>
        <w:t>Grant modification requests are submitted to gain approval from the funding agency when changes to the original grant agreement are necessary. These modifications are needed when adjustments to the project scope, budget, timeline, deliverables, or other terms of the award are required to ensure successful project implementation. Requesting approval for these changes helps keep grant activities authorized and aligned with the conditions set by the funding organization.</w:t>
      </w:r>
    </w:p>
    <w:p w14:paraId="18D50068" w14:textId="77777777" w:rsidR="00883867" w:rsidRDefault="00883867" w:rsidP="00883867">
      <w:pPr>
        <w:widowControl/>
        <w:autoSpaceDE/>
        <w:autoSpaceDN/>
        <w:jc w:val="both"/>
      </w:pPr>
    </w:p>
    <w:p w14:paraId="16F65483" w14:textId="0EA14EE5" w:rsidR="00FD137D" w:rsidRDefault="00883867" w:rsidP="00883867">
      <w:pPr>
        <w:widowControl/>
        <w:autoSpaceDE/>
        <w:autoSpaceDN/>
        <w:jc w:val="both"/>
      </w:pPr>
      <w:r>
        <w:t>Agencies must submit modification requests following the funder’s guidelines and obtain formal approval before making any changes to the grant agreement. All modification requests and approvals should be properly documented and stored in the grant records to promote transparency, ensure compliance with award conditions, and support audit and oversight processes. Keeping clear documentation of approved modifications helps maintain alignment of programmatic and financial activities with the updated grant terms.</w:t>
      </w:r>
    </w:p>
    <w:p w14:paraId="51203B20" w14:textId="77777777" w:rsidR="00FD137D" w:rsidRDefault="00FD137D" w:rsidP="00E26331">
      <w:pPr>
        <w:widowControl/>
        <w:autoSpaceDE/>
        <w:autoSpaceDN/>
        <w:ind w:left="360"/>
      </w:pPr>
    </w:p>
    <w:p w14:paraId="0559E8AD" w14:textId="4D0EB632" w:rsidR="005739D9" w:rsidRPr="00C241A7" w:rsidRDefault="005739D9" w:rsidP="005739D9">
      <w:pPr>
        <w:ind w:left="360"/>
        <w:rPr>
          <w:rStyle w:val="IntenseReference"/>
          <w:highlight w:val="yellow"/>
        </w:rPr>
      </w:pPr>
      <w:r w:rsidRPr="00C241A7">
        <w:rPr>
          <w:rStyle w:val="IntenseReference"/>
          <w:highlight w:val="yellow"/>
        </w:rPr>
        <w:t>Agency</w:t>
      </w:r>
      <w:r w:rsidRPr="00C241A7">
        <w:rPr>
          <w:rStyle w:val="IntenseReference"/>
          <w:rFonts w:ascii="Cambria Math" w:hAnsi="Cambria Math" w:cs="Cambria Math"/>
          <w:highlight w:val="yellow"/>
        </w:rPr>
        <w:t>‑</w:t>
      </w:r>
      <w:r w:rsidRPr="00C241A7">
        <w:rPr>
          <w:rStyle w:val="IntenseReference"/>
          <w:highlight w:val="yellow"/>
        </w:rPr>
        <w:t>specific procedures</w:t>
      </w:r>
      <w:r w:rsidR="00C1136B">
        <w:rPr>
          <w:rStyle w:val="IntenseReference"/>
          <w:highlight w:val="yellow"/>
        </w:rPr>
        <w:t xml:space="preserve"> relating to grant modification requests</w:t>
      </w:r>
      <w:r w:rsidRPr="00C241A7">
        <w:rPr>
          <w:rStyle w:val="IntenseReference"/>
          <w:highlight w:val="yellow"/>
        </w:rPr>
        <w:t>. (placeholder section)</w:t>
      </w:r>
    </w:p>
    <w:p w14:paraId="62A0CB9E" w14:textId="77777777" w:rsidR="004972B4" w:rsidRPr="000F1BF6" w:rsidRDefault="004972B4" w:rsidP="004972B4">
      <w:pPr>
        <w:widowControl/>
        <w:autoSpaceDE/>
        <w:autoSpaceDN/>
        <w:ind w:left="720"/>
      </w:pPr>
    </w:p>
    <w:p w14:paraId="7B476A1B" w14:textId="16B38525" w:rsidR="00B92963" w:rsidRPr="001168DE" w:rsidRDefault="00B92963" w:rsidP="008259AE">
      <w:pPr>
        <w:pStyle w:val="Heading1"/>
      </w:pPr>
      <w:bookmarkStart w:id="24" w:name="_Toc225934267"/>
      <w:r w:rsidRPr="001168DE">
        <w:t>AUDIT &amp; COMPLIANCE</w:t>
      </w:r>
      <w:bookmarkEnd w:id="24"/>
    </w:p>
    <w:p w14:paraId="4D0CCEB7" w14:textId="77777777" w:rsidR="00883867" w:rsidRDefault="00883867" w:rsidP="00A40390"/>
    <w:p w14:paraId="532CD0B0" w14:textId="77777777" w:rsidR="00883867" w:rsidRDefault="00883867" w:rsidP="00883867">
      <w:pPr>
        <w:jc w:val="both"/>
      </w:pPr>
      <w:r>
        <w:t>Maintaining comprehensive and accurate grant records, policies, and procedures ensures compliance with federal and state audit requirements and demonstrates responsible stewardship of grant funds. Proper documentation provides evidence that financial transactions, program activities, and administrative decisions were carried out in accordance with applicable laws, regulations, and grant terms.</w:t>
      </w:r>
    </w:p>
    <w:p w14:paraId="5FC4DBC6" w14:textId="77777777" w:rsidR="00883867" w:rsidRDefault="00883867" w:rsidP="00883867">
      <w:pPr>
        <w:jc w:val="both"/>
      </w:pPr>
    </w:p>
    <w:p w14:paraId="454BEACD" w14:textId="77777777" w:rsidR="00883867" w:rsidRDefault="00883867" w:rsidP="00883867">
      <w:pPr>
        <w:jc w:val="both"/>
      </w:pPr>
      <w:r>
        <w:t>Agencies must keep records supporting expenditures, performance claims, procurement decisions, and monitoring activities. Well-organized documentation creates a clear audit trail, confirms that funds were used for authorized purposes, and supports audits, monitoring, and oversight throughout the grant's duration.</w:t>
      </w:r>
    </w:p>
    <w:p w14:paraId="362ACD55" w14:textId="77777777" w:rsidR="00883867" w:rsidRDefault="00883867" w:rsidP="00883867">
      <w:pPr>
        <w:jc w:val="both"/>
      </w:pPr>
    </w:p>
    <w:p w14:paraId="57A3D64D" w14:textId="4ACB3B14" w:rsidR="00720DF4" w:rsidRDefault="00883867" w:rsidP="00883867">
      <w:pPr>
        <w:jc w:val="both"/>
      </w:pPr>
      <w:r>
        <w:lastRenderedPageBreak/>
        <w:t xml:space="preserve">Agencies should also uphold internal controls and records retention practices that support compliance with grant requirements. Grant records should be organized and easily accessible to aid monitoring activities, compliance reviews, and audits by federal agencies, pass-through entities, or state oversight bodies. If audit findings or compliance issues arise, agencies need to document corrective actions and implement measures to fix deficiencies and prevent future issues. </w:t>
      </w:r>
    </w:p>
    <w:p w14:paraId="53867932" w14:textId="77777777" w:rsidR="00A40390" w:rsidRPr="00720DF4" w:rsidRDefault="00A40390" w:rsidP="00A40390"/>
    <w:p w14:paraId="09E4C77F" w14:textId="77777777" w:rsidR="005E4149" w:rsidRPr="00C241A7" w:rsidRDefault="005E4149" w:rsidP="005E4149">
      <w:pPr>
        <w:ind w:left="360"/>
        <w:rPr>
          <w:rStyle w:val="IntenseReference"/>
          <w:highlight w:val="yellow"/>
        </w:rPr>
      </w:pPr>
      <w:r w:rsidRPr="00C241A7">
        <w:rPr>
          <w:rStyle w:val="IntenseReference"/>
          <w:highlight w:val="yellow"/>
        </w:rPr>
        <w:t>Agency</w:t>
      </w:r>
      <w:r w:rsidRPr="00C241A7">
        <w:rPr>
          <w:rStyle w:val="IntenseReference"/>
          <w:rFonts w:ascii="Cambria Math" w:hAnsi="Cambria Math" w:cs="Cambria Math"/>
          <w:highlight w:val="yellow"/>
        </w:rPr>
        <w:t>‑</w:t>
      </w:r>
      <w:r w:rsidRPr="00C241A7">
        <w:rPr>
          <w:rStyle w:val="IntenseReference"/>
          <w:highlight w:val="yellow"/>
        </w:rPr>
        <w:t>specific procedures. (placeholder section)</w:t>
      </w:r>
    </w:p>
    <w:p w14:paraId="7BF8CB9B" w14:textId="77777777" w:rsidR="004972B4" w:rsidRDefault="004972B4" w:rsidP="00611AC3"/>
    <w:p w14:paraId="71EE0E9D" w14:textId="643BD4C5" w:rsidR="00B92963" w:rsidRPr="001168DE" w:rsidRDefault="00B92963" w:rsidP="008259AE">
      <w:pPr>
        <w:pStyle w:val="Heading1"/>
      </w:pPr>
      <w:bookmarkStart w:id="25" w:name="_Toc225934268"/>
      <w:r w:rsidRPr="001168DE">
        <w:t>CLOSEOUT</w:t>
      </w:r>
      <w:bookmarkEnd w:id="25"/>
    </w:p>
    <w:p w14:paraId="78B8AC06" w14:textId="77777777" w:rsidR="00883867" w:rsidRDefault="00883867" w:rsidP="008D3F0D"/>
    <w:p w14:paraId="323A8EA2" w14:textId="2E6AC60A" w:rsidR="00C94A8A" w:rsidRDefault="00C94A8A" w:rsidP="00257EE1">
      <w:pPr>
        <w:jc w:val="both"/>
      </w:pPr>
      <w:r>
        <w:t xml:space="preserve">Grant closeout is the process that occurs when all programmatic and financial requirements of a grant award have been completed. The purpose of </w:t>
      </w:r>
      <w:r w:rsidR="001E503C">
        <w:t>close-out</w:t>
      </w:r>
      <w:r>
        <w:t xml:space="preserve"> is to ensure that all activities funded under the grant are finalized, all expenditures are properly recorded, and all reporting obligations to the funding agency are fulfilled. A thorough closeout process confirms that the agency has met the terms and conditions of the award and that all financial and programmatic responsibilities have been satisfied.</w:t>
      </w:r>
    </w:p>
    <w:p w14:paraId="146A960C" w14:textId="77777777" w:rsidR="00C94A8A" w:rsidRDefault="00C94A8A" w:rsidP="00257EE1">
      <w:pPr>
        <w:jc w:val="both"/>
      </w:pPr>
    </w:p>
    <w:p w14:paraId="600643FE" w14:textId="77777777" w:rsidR="00C94A8A" w:rsidRDefault="00C94A8A" w:rsidP="00257EE1">
      <w:pPr>
        <w:jc w:val="both"/>
      </w:pPr>
      <w:r>
        <w:t>As part of the closeout process, agencies must complete all remaining program activities and submit required final programmatic and financial reports to the funding agency. Financial records must be reviewed and reconciled with the SHARE financial system to ensure that all expenditures are accurately recorded and align with the approved budget. Agencies should also verify that all grant-funded deliverables and performance objectives have been completed and documented. Agencies must also resolve any outstanding obligations, address applicable equipment disposition requirements, and ensure that all grant-related financial and program documentation is complete and properly maintained. If subrecipients or contractors were involved in the grant, agencies must ensure that their activities and financial obligations have also been properly closed out.</w:t>
      </w:r>
    </w:p>
    <w:p w14:paraId="11E38B34" w14:textId="77777777" w:rsidR="00C94A8A" w:rsidRDefault="00C94A8A" w:rsidP="00257EE1">
      <w:pPr>
        <w:jc w:val="both"/>
      </w:pPr>
    </w:p>
    <w:p w14:paraId="3B6246FE" w14:textId="77777777" w:rsidR="00C94A8A" w:rsidRDefault="00C94A8A" w:rsidP="00257EE1">
      <w:pPr>
        <w:jc w:val="both"/>
      </w:pPr>
    </w:p>
    <w:p w14:paraId="75821706" w14:textId="77777777" w:rsidR="00257EE1" w:rsidRDefault="00C94A8A" w:rsidP="00257EE1">
      <w:pPr>
        <w:jc w:val="both"/>
      </w:pPr>
      <w:r>
        <w:t>A successful closeout confirms that all award requirements were fulfilled and that the grant was managed in accordance with applicable laws, regulations, and grant conditions. Agencies must retain all required documentation in line with record retention and audit requirements to support future monitoring, audit reviews, or oversight inquiries.</w:t>
      </w:r>
    </w:p>
    <w:p w14:paraId="21B2CBD4" w14:textId="54E8794B" w:rsidR="008D3F0D" w:rsidRDefault="00750AD3" w:rsidP="00257EE1">
      <w:pPr>
        <w:rPr>
          <w:rStyle w:val="IntenseReference"/>
          <w:highlight w:val="yellow"/>
        </w:rPr>
      </w:pPr>
      <w:r w:rsidRPr="00A679AC">
        <w:rPr>
          <w:rStyle w:val="SubtleEmphasis"/>
          <w:noProof/>
        </w:rPr>
        <mc:AlternateContent>
          <mc:Choice Requires="wps">
            <w:drawing>
              <wp:anchor distT="45720" distB="45720" distL="114300" distR="114300" simplePos="0" relativeHeight="251658249" behindDoc="0" locked="0" layoutInCell="1" allowOverlap="1" wp14:anchorId="63C4EB07" wp14:editId="1C0FF8E9">
                <wp:simplePos x="0" y="0"/>
                <wp:positionH relativeFrom="column">
                  <wp:posOffset>0</wp:posOffset>
                </wp:positionH>
                <wp:positionV relativeFrom="paragraph">
                  <wp:posOffset>186055</wp:posOffset>
                </wp:positionV>
                <wp:extent cx="6565900" cy="1404620"/>
                <wp:effectExtent l="0" t="0" r="25400" b="27305"/>
                <wp:wrapSquare wrapText="bothSides"/>
                <wp:docPr id="1080967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404620"/>
                        </a:xfrm>
                        <a:prstGeom prst="rect">
                          <a:avLst/>
                        </a:prstGeom>
                        <a:solidFill>
                          <a:srgbClr val="FFFFFF"/>
                        </a:solidFill>
                        <a:ln w="9525">
                          <a:solidFill>
                            <a:srgbClr val="004D4C"/>
                          </a:solidFill>
                          <a:miter lim="800000"/>
                          <a:headEnd/>
                          <a:tailEnd/>
                        </a:ln>
                      </wps:spPr>
                      <wps:txbx>
                        <w:txbxContent>
                          <w:p w14:paraId="3EE097F4" w14:textId="18766215" w:rsidR="0073194D" w:rsidRDefault="0073194D" w:rsidP="0073194D">
                            <w:pPr>
                              <w:pStyle w:val="BestPractice"/>
                            </w:pPr>
                            <w:r w:rsidRPr="0073194D">
                              <w:t>Tip: Begin planning for grant closeout well before the end of the period of performance.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C4EB07" id="_x0000_s1036" type="#_x0000_t202" style="position:absolute;margin-left:0;margin-top:14.65pt;width:517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" strokecolor="#004d4c">
                <v:textbox style="mso-fit-shape-to-text:t">
                  <w:txbxContent>
                    <w:p w14:paraId="3EE097F4" w14:textId="18766215" w:rsidR="0073194D" w:rsidRDefault="0073194D" w:rsidP="0073194D">
                      <w:pPr>
                        <w:pStyle w:val="BestPractice"/>
                      </w:pPr>
                      <w:r w:rsidRPr="0073194D">
                        <w:t>Tip: Begin planning for grant closeout well before the end of the period of performance.</w:t>
                      </w:r>
                    </w:p>
                  </w:txbxContent>
                </v:textbox>
                <w10:wrap type="square"/>
              </v:shape>
            </w:pict>
          </mc:Fallback>
        </mc:AlternateContent>
      </w:r>
      <w:r w:rsidR="008D3F0D" w:rsidRPr="00C241A7">
        <w:rPr>
          <w:rStyle w:val="IntenseReference"/>
          <w:highlight w:val="yellow"/>
        </w:rPr>
        <w:t>Agency</w:t>
      </w:r>
      <w:r w:rsidR="008D3F0D" w:rsidRPr="00C241A7">
        <w:rPr>
          <w:rStyle w:val="IntenseReference"/>
          <w:rFonts w:ascii="Cambria Math" w:hAnsi="Cambria Math" w:cs="Cambria Math"/>
          <w:highlight w:val="yellow"/>
        </w:rPr>
        <w:t>‑</w:t>
      </w:r>
      <w:r w:rsidR="008D3F0D" w:rsidRPr="00C241A7">
        <w:rPr>
          <w:rStyle w:val="IntenseReference"/>
          <w:highlight w:val="yellow"/>
        </w:rPr>
        <w:t>specific procedures</w:t>
      </w:r>
      <w:r w:rsidR="007571C5">
        <w:rPr>
          <w:rStyle w:val="IntenseReference"/>
          <w:highlight w:val="yellow"/>
        </w:rPr>
        <w:t xml:space="preserve"> relating to close-out and equipment disposition</w:t>
      </w:r>
      <w:r w:rsidR="008D3F0D" w:rsidRPr="00C241A7">
        <w:rPr>
          <w:rStyle w:val="IntenseReference"/>
          <w:highlight w:val="yellow"/>
        </w:rPr>
        <w:t>. (placeholder section)</w:t>
      </w:r>
    </w:p>
    <w:p w14:paraId="1A34EE10" w14:textId="77777777" w:rsidR="00614150" w:rsidRPr="00C241A7" w:rsidRDefault="00614150" w:rsidP="00257EE1">
      <w:pPr>
        <w:rPr>
          <w:rStyle w:val="IntenseReference"/>
          <w:highlight w:val="yellow"/>
        </w:rPr>
      </w:pPr>
    </w:p>
    <w:p w14:paraId="06DA8B97" w14:textId="77777777" w:rsidR="00B92963" w:rsidRPr="001168DE" w:rsidRDefault="00B92963" w:rsidP="008259AE">
      <w:pPr>
        <w:pStyle w:val="Heading1"/>
      </w:pPr>
      <w:bookmarkStart w:id="26" w:name="_Toc225934269"/>
      <w:r w:rsidRPr="001168DE">
        <w:t>XV. RECORDS RETENTION</w:t>
      </w:r>
      <w:bookmarkEnd w:id="26"/>
    </w:p>
    <w:p w14:paraId="726EAC2E" w14:textId="77777777" w:rsidR="00257EE1" w:rsidRDefault="00257EE1" w:rsidP="00781062"/>
    <w:p w14:paraId="777D04DF" w14:textId="77777777" w:rsidR="00257EE1" w:rsidRDefault="00257EE1" w:rsidP="00E76D0B">
      <w:pPr>
        <w:jc w:val="both"/>
      </w:pPr>
      <w:r>
        <w:t>Records retention in grant management ensures agencies keep complete and accessible documentation to demonstrate compliance with federal and state requirements throughout the grant's duration and after closeout. Agencies must retain financial records, program documentation, procurement files, monitoring records, and other supporting materials that verify expenditures, performance outcomes, and administrative decisions related to the grant. Keeping organized records provides a clear audit trail, supports monitoring and oversight activities, and helps agencies respond to audits or compliance reviews.</w:t>
      </w:r>
    </w:p>
    <w:p w14:paraId="76B10101" w14:textId="77777777" w:rsidR="00257EE1" w:rsidRDefault="00257EE1" w:rsidP="00E76D0B">
      <w:pPr>
        <w:jc w:val="both"/>
      </w:pPr>
    </w:p>
    <w:p w14:paraId="3F21B009" w14:textId="77777777" w:rsidR="00257EE1" w:rsidRDefault="00257EE1" w:rsidP="00E76D0B">
      <w:pPr>
        <w:jc w:val="both"/>
      </w:pPr>
      <w:r>
        <w:t xml:space="preserve">Under federal requirements in 2CFR200, grant-related records generally must be retained for at least three years from the date the final expenditure report is submitted. Similarly, New Mexico records retention schedules in 1.21.2 NMAC require grant administration records to be kept for at least three years after the grant file is closed. However, state financial records may need to be kept longer depending on specific retention schedules. When </w:t>
      </w:r>
      <w:r>
        <w:lastRenderedPageBreak/>
        <w:t>multiple requirements apply, agencies must keep records for the longest retention period mandated by federal regulations, state law, audit requirements, litigation, or written instructions from the awarding agency.</w:t>
      </w:r>
    </w:p>
    <w:p w14:paraId="2B3035E2" w14:textId="77777777" w:rsidR="00257EE1" w:rsidRDefault="00257EE1" w:rsidP="00E76D0B">
      <w:pPr>
        <w:jc w:val="both"/>
      </w:pPr>
    </w:p>
    <w:p w14:paraId="223FCF6B" w14:textId="10503C8D" w:rsidR="00B92963" w:rsidRDefault="00257EE1" w:rsidP="00E76D0B">
      <w:pPr>
        <w:jc w:val="both"/>
      </w:pPr>
      <w:r>
        <w:t xml:space="preserve">The retention period may be extended if there are unresolved audit findings, ongoing litigation, or if a federal awarding agency provides written instructions to retain records for a longer period. </w:t>
      </w:r>
    </w:p>
    <w:p w14:paraId="18758266" w14:textId="25B5175E" w:rsidR="00781062" w:rsidRPr="00C241A7" w:rsidRDefault="00750AD3" w:rsidP="00750AD3">
      <w:pPr>
        <w:rPr>
          <w:rStyle w:val="IntenseReference"/>
          <w:highlight w:val="yellow"/>
        </w:rPr>
      </w:pPr>
      <w:r w:rsidRPr="00A679AC">
        <w:rPr>
          <w:noProof/>
        </w:rPr>
        <mc:AlternateContent>
          <mc:Choice Requires="wps">
            <w:drawing>
              <wp:anchor distT="45720" distB="45720" distL="114300" distR="114300" simplePos="0" relativeHeight="251658250" behindDoc="0" locked="0" layoutInCell="1" allowOverlap="1" wp14:anchorId="3C9E50E9" wp14:editId="07B1A213">
                <wp:simplePos x="0" y="0"/>
                <wp:positionH relativeFrom="column">
                  <wp:posOffset>0</wp:posOffset>
                </wp:positionH>
                <wp:positionV relativeFrom="paragraph">
                  <wp:posOffset>207645</wp:posOffset>
                </wp:positionV>
                <wp:extent cx="6565900" cy="1404620"/>
                <wp:effectExtent l="0" t="0" r="25400" b="27305"/>
                <wp:wrapSquare wrapText="bothSides"/>
                <wp:docPr id="669325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404620"/>
                        </a:xfrm>
                        <a:prstGeom prst="rect">
                          <a:avLst/>
                        </a:prstGeom>
                        <a:solidFill>
                          <a:srgbClr val="FFFFFF"/>
                        </a:solidFill>
                        <a:ln w="9525">
                          <a:solidFill>
                            <a:srgbClr val="004D4C"/>
                          </a:solidFill>
                          <a:miter lim="800000"/>
                          <a:headEnd/>
                          <a:tailEnd/>
                        </a:ln>
                      </wps:spPr>
                      <wps:txbx>
                        <w:txbxContent>
                          <w:p w14:paraId="7AD08E5A" w14:textId="4061DBC9" w:rsidR="00E00369" w:rsidRDefault="00A657E5" w:rsidP="00E00369">
                            <w:pPr>
                              <w:pStyle w:val="BestPractice"/>
                            </w:pPr>
                            <w:r w:rsidRPr="00A657E5">
                              <w:t xml:space="preserve">Tip: Establish a consistent records retention and storage process by organizing grant files and clearly </w:t>
                            </w:r>
                            <w:r w:rsidR="00DC7558" w:rsidRPr="00A657E5">
                              <w:t xml:space="preserve">labeling </w:t>
                            </w:r>
                            <w:r w:rsidR="00DC7558">
                              <w:t>electronic</w:t>
                            </w:r>
                            <w:r w:rsidR="00E249F6">
                              <w:t xml:space="preserve"> </w:t>
                            </w:r>
                            <w:r w:rsidRPr="00A657E5">
                              <w:t>folders with the grant name, award number, and retention or destruction 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E50E9" id="_x0000_s1037" type="#_x0000_t202" style="position:absolute;margin-left:0;margin-top:16.35pt;width:517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" strokecolor="#004d4c">
                <v:textbox style="mso-fit-shape-to-text:t">
                  <w:txbxContent>
                    <w:p w14:paraId="7AD08E5A" w14:textId="4061DBC9" w:rsidR="00E00369" w:rsidRDefault="00A657E5" w:rsidP="00E00369">
                      <w:pPr>
                        <w:pStyle w:val="BestPractice"/>
                      </w:pPr>
                      <w:r w:rsidRPr="00A657E5">
                        <w:t xml:space="preserve">Tip: Establish a consistent records retention and storage process by organizing grant files and clearly </w:t>
                      </w:r>
                      <w:r w:rsidR="00DC7558" w:rsidRPr="00A657E5">
                        <w:t xml:space="preserve">labeling </w:t>
                      </w:r>
                      <w:r w:rsidR="00DC7558">
                        <w:t>electronic</w:t>
                      </w:r>
                      <w:r w:rsidR="00E249F6">
                        <w:t xml:space="preserve"> </w:t>
                      </w:r>
                      <w:r w:rsidRPr="00A657E5">
                        <w:t>folders with the grant name, award number, and retention or destruction date.</w:t>
                      </w:r>
                    </w:p>
                  </w:txbxContent>
                </v:textbox>
                <w10:wrap type="square"/>
              </v:shape>
            </w:pict>
          </mc:Fallback>
        </mc:AlternateContent>
      </w:r>
      <w:r w:rsidR="00781062" w:rsidRPr="00C241A7">
        <w:rPr>
          <w:rStyle w:val="IntenseReference"/>
          <w:highlight w:val="yellow"/>
        </w:rPr>
        <w:t>Agency</w:t>
      </w:r>
      <w:r w:rsidR="00781062" w:rsidRPr="00C241A7">
        <w:rPr>
          <w:rStyle w:val="IntenseReference"/>
          <w:rFonts w:ascii="Cambria Math" w:hAnsi="Cambria Math" w:cs="Cambria Math"/>
          <w:highlight w:val="yellow"/>
        </w:rPr>
        <w:t>‑</w:t>
      </w:r>
      <w:r w:rsidR="00781062" w:rsidRPr="00C241A7">
        <w:rPr>
          <w:rStyle w:val="IntenseReference"/>
          <w:highlight w:val="yellow"/>
        </w:rPr>
        <w:t xml:space="preserve">specific </w:t>
      </w:r>
      <w:r w:rsidR="00877455">
        <w:rPr>
          <w:rStyle w:val="IntenseReference"/>
          <w:highlight w:val="yellow"/>
        </w:rPr>
        <w:t xml:space="preserve">record retention policies and </w:t>
      </w:r>
      <w:r w:rsidR="00781062" w:rsidRPr="00C241A7">
        <w:rPr>
          <w:rStyle w:val="IntenseReference"/>
          <w:highlight w:val="yellow"/>
        </w:rPr>
        <w:t>procedures. (placeholder section)</w:t>
      </w:r>
    </w:p>
    <w:p w14:paraId="2C5E693F" w14:textId="77777777" w:rsidR="00CF4D32" w:rsidRPr="00CF4D32" w:rsidRDefault="00CF4D32" w:rsidP="008259AE">
      <w:pPr>
        <w:pStyle w:val="Heading1"/>
      </w:pPr>
    </w:p>
    <w:p w14:paraId="2B44C526" w14:textId="1F8BE9A4" w:rsidR="00B92963" w:rsidRPr="001168DE" w:rsidRDefault="00B92963" w:rsidP="008259AE">
      <w:pPr>
        <w:pStyle w:val="Heading1"/>
      </w:pPr>
      <w:bookmarkStart w:id="27" w:name="_Toc225934270"/>
      <w:r w:rsidRPr="001168DE">
        <w:t>XVI. CONTINUOUS IMPROVEMENT</w:t>
      </w:r>
      <w:bookmarkEnd w:id="27"/>
    </w:p>
    <w:p w14:paraId="63CD3BB8" w14:textId="77777777" w:rsidR="00D8791F" w:rsidRDefault="00D8791F" w:rsidP="003445B1"/>
    <w:p w14:paraId="6B008FC4" w14:textId="504D1995" w:rsidR="00C42B16" w:rsidRDefault="00C42B16" w:rsidP="00D8791F">
      <w:pPr>
        <w:jc w:val="both"/>
      </w:pPr>
      <w:r>
        <w:t xml:space="preserve">Maintaining effective grant administration requires a commitment to ongoing improvement, clear documentation of grant management processes, and continuous staff training. Agencies should regularly review and enhance their grant management practices to ensure compliance with changing federal and state requirements. This includes conducting annual reviews of grant policies, monitoring updates to 2 CFR and the New Mexico Administrative Code (NMAC), tracking audit findings, and updating internal procedures to reflect legislative or regulatory changes that impact grant administration. Agencies should also revise documented processes based on practical experience to ensure procedures stay current and incorporate best practices. </w:t>
      </w:r>
    </w:p>
    <w:p w14:paraId="459D4228" w14:textId="77777777" w:rsidR="00C42B16" w:rsidRDefault="00C42B16" w:rsidP="00D8791F">
      <w:pPr>
        <w:jc w:val="both"/>
      </w:pPr>
    </w:p>
    <w:p w14:paraId="322E832E" w14:textId="1A93A63E" w:rsidR="006934B0" w:rsidRPr="00C241A7" w:rsidRDefault="00C42B16" w:rsidP="00D8791F">
      <w:pPr>
        <w:jc w:val="both"/>
        <w:rPr>
          <w:rStyle w:val="IntenseReference"/>
          <w:highlight w:val="yellow"/>
        </w:rPr>
      </w:pPr>
      <w:r>
        <w:t>Agencies need to support continuous improvement by offering grant management training for program, fiscal, and procurement staff and by conducting New Mexico MAPS internal control self-assessments to evaluate the effectiveness of financial management and compliance practices. Reviewing audit results, strengthening internal controls, and updating procedures based on lessons learned help reduce risks and improve oversight of grant-funded activities. Effective grant management is an ongoing governance duty, not just a transactional task, and requires continuous monitoring, training, and policy refinement to ensure responsible stewardship of public funds.</w:t>
      </w:r>
      <w:r w:rsidR="0047219A" w:rsidRPr="00A679AC">
        <w:rPr>
          <w:noProof/>
        </w:rPr>
        <mc:AlternateContent>
          <mc:Choice Requires="wps">
            <w:drawing>
              <wp:anchor distT="45720" distB="45720" distL="114300" distR="114300" simplePos="0" relativeHeight="251658251" behindDoc="0" locked="0" layoutInCell="1" allowOverlap="1" wp14:anchorId="44989BB3" wp14:editId="21EA5B81">
                <wp:simplePos x="0" y="0"/>
                <wp:positionH relativeFrom="column">
                  <wp:posOffset>0</wp:posOffset>
                </wp:positionH>
                <wp:positionV relativeFrom="paragraph">
                  <wp:posOffset>207645</wp:posOffset>
                </wp:positionV>
                <wp:extent cx="6565900" cy="1404620"/>
                <wp:effectExtent l="0" t="0" r="25400" b="27305"/>
                <wp:wrapSquare wrapText="bothSides"/>
                <wp:docPr id="1242069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404620"/>
                        </a:xfrm>
                        <a:prstGeom prst="rect">
                          <a:avLst/>
                        </a:prstGeom>
                        <a:solidFill>
                          <a:srgbClr val="FFFFFF"/>
                        </a:solidFill>
                        <a:ln w="9525">
                          <a:solidFill>
                            <a:srgbClr val="004D4C"/>
                          </a:solidFill>
                          <a:miter lim="800000"/>
                          <a:headEnd/>
                          <a:tailEnd/>
                        </a:ln>
                      </wps:spPr>
                      <wps:txbx>
                        <w:txbxContent>
                          <w:p w14:paraId="73CCB065" w14:textId="1656D11C" w:rsidR="0047219A" w:rsidRDefault="0047219A" w:rsidP="0047219A">
                            <w:pPr>
                              <w:pStyle w:val="BestPractice"/>
                            </w:pPr>
                            <w:r w:rsidRPr="00A657E5">
                              <w:t xml:space="preserve">Tip: </w:t>
                            </w:r>
                            <w:r w:rsidR="003445B1" w:rsidRPr="003445B1">
                              <w:t>Rather than attempting to revise all policies at once, agencies may find it more effective to update sections incrementally—prioritizing areas with the highest compliance risk or operational impact.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989BB3" id="_x0000_s1038" type="#_x0000_t202" style="position:absolute;left:0;text-align:left;margin-left:0;margin-top:16.35pt;width:517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" strokecolor="#004d4c">
                <v:textbox style="mso-fit-shape-to-text:t">
                  <w:txbxContent>
                    <w:p w14:paraId="73CCB065" w14:textId="1656D11C" w:rsidR="0047219A" w:rsidRDefault="0047219A" w:rsidP="0047219A">
                      <w:pPr>
                        <w:pStyle w:val="BestPractice"/>
                      </w:pPr>
                      <w:r w:rsidRPr="00A657E5">
                        <w:t xml:space="preserve">Tip: </w:t>
                      </w:r>
                      <w:r w:rsidR="003445B1" w:rsidRPr="003445B1">
                        <w:t>Rather than attempting to revise all policies at once, agencies may find it more effective to update sections incrementally—prioritizing areas with the highest compliance risk or operational impact.</w:t>
                      </w:r>
                    </w:p>
                  </w:txbxContent>
                </v:textbox>
                <w10:wrap type="square"/>
              </v:shape>
            </w:pict>
          </mc:Fallback>
        </mc:AlternateContent>
      </w:r>
    </w:p>
    <w:p w14:paraId="49A05D61" w14:textId="50991C42" w:rsidR="007B05CA" w:rsidRDefault="007B05CA">
      <w:pPr>
        <w:rPr>
          <w:sz w:val="20"/>
        </w:rPr>
      </w:pPr>
      <w:r>
        <w:rPr>
          <w:sz w:val="20"/>
        </w:rPr>
        <w:br w:type="page"/>
      </w:r>
    </w:p>
    <w:p w14:paraId="7269BFA6" w14:textId="0DC6C88B" w:rsidR="00D1391A" w:rsidRPr="000505AA" w:rsidRDefault="000505AA" w:rsidP="00F4791C">
      <w:pPr>
        <w:pStyle w:val="Heading1"/>
        <w:jc w:val="center"/>
        <w:rPr>
          <w:rFonts w:ascii="Segoe UI" w:hAnsi="Segoe UI" w:cs="Segoe UI"/>
          <w:sz w:val="18"/>
          <w:szCs w:val="18"/>
        </w:rPr>
      </w:pPr>
      <w:bookmarkStart w:id="28" w:name="_APPENDIX_A"/>
      <w:bookmarkStart w:id="29" w:name="_Toc225934271"/>
      <w:bookmarkEnd w:id="28"/>
      <w:r w:rsidRPr="000505AA">
        <w:lastRenderedPageBreak/>
        <w:t>APPENDIX A </w:t>
      </w:r>
      <w:r w:rsidR="001E503C">
        <w:t xml:space="preserve">- </w:t>
      </w:r>
      <w:r w:rsidR="001E503C" w:rsidRPr="000505AA">
        <w:t>REGULATORY</w:t>
      </w:r>
      <w:r w:rsidR="00D1391A" w:rsidRPr="000505AA">
        <w:t xml:space="preserve"> CROSSWALK</w:t>
      </w:r>
      <w:bookmarkEnd w:id="29"/>
    </w:p>
    <w:p w14:paraId="0E85D8F8" w14:textId="5DEA2802" w:rsidR="000505AA" w:rsidRPr="000505AA" w:rsidRDefault="000505AA" w:rsidP="008259AE">
      <w:pPr>
        <w:pStyle w:val="Heading1"/>
        <w:rPr>
          <w:rFonts w:ascii="Segoe UI" w:hAnsi="Segoe UI" w:cs="Segoe UI"/>
          <w:sz w:val="18"/>
          <w:szCs w:val="18"/>
        </w:rPr>
      </w:pPr>
    </w:p>
    <w:p w14:paraId="42B9526B" w14:textId="77777777" w:rsidR="000505AA" w:rsidRPr="000505AA" w:rsidRDefault="000505AA" w:rsidP="000505AA">
      <w:pPr>
        <w:widowControl/>
        <w:autoSpaceDE/>
        <w:autoSpaceDN/>
        <w:ind w:left="495" w:hanging="420"/>
        <w:jc w:val="center"/>
        <w:textAlignment w:val="baseline"/>
        <w:rPr>
          <w:rFonts w:ascii="Segoe UI" w:eastAsia="Times New Roman" w:hAnsi="Segoe UI" w:cs="Segoe UI"/>
          <w:sz w:val="18"/>
          <w:szCs w:val="18"/>
        </w:rPr>
      </w:pPr>
      <w:r w:rsidRPr="000505AA">
        <w:rPr>
          <w:rFonts w:ascii="Times New Roman" w:eastAsia="Times New Roman" w:hAnsi="Times New Roman" w:cs="Times New Roman"/>
          <w:b/>
          <w:bCs/>
          <w:sz w:val="20"/>
          <w:szCs w:val="20"/>
        </w:rPr>
        <w:t>Federal Uniform Guidance (2 CFR Part 200)</w:t>
      </w:r>
      <w:r w:rsidRPr="000505AA">
        <w:rPr>
          <w:rFonts w:ascii="Times New Roman" w:eastAsia="Times New Roman" w:hAnsi="Times New Roman" w:cs="Times New Roman"/>
          <w:sz w:val="20"/>
          <w:szCs w:val="20"/>
        </w:rPr>
        <w:t> </w:t>
      </w:r>
    </w:p>
    <w:p w14:paraId="5A9BA969" w14:textId="77777777" w:rsidR="000505AA" w:rsidRPr="000505AA" w:rsidRDefault="000505AA" w:rsidP="000505AA">
      <w:pPr>
        <w:widowControl/>
        <w:autoSpaceDE/>
        <w:autoSpaceDN/>
        <w:ind w:left="495" w:hanging="420"/>
        <w:jc w:val="center"/>
        <w:textAlignment w:val="baseline"/>
        <w:rPr>
          <w:rFonts w:ascii="Segoe UI" w:eastAsia="Times New Roman" w:hAnsi="Segoe UI" w:cs="Segoe UI"/>
          <w:sz w:val="18"/>
          <w:szCs w:val="18"/>
        </w:rPr>
      </w:pPr>
      <w:r w:rsidRPr="000505AA">
        <w:rPr>
          <w:rFonts w:eastAsia="Times New Roman"/>
          <w:b/>
          <w:bCs/>
          <w:sz w:val="20"/>
          <w:szCs w:val="20"/>
        </w:rPr>
        <w:t>↔</w:t>
      </w:r>
      <w:r w:rsidRPr="000505AA">
        <w:rPr>
          <w:rFonts w:ascii="Times New Roman" w:eastAsia="Times New Roman" w:hAnsi="Times New Roman" w:cs="Times New Roman"/>
          <w:b/>
          <w:bCs/>
          <w:sz w:val="20"/>
          <w:szCs w:val="20"/>
        </w:rPr>
        <w:t> New Mexico Statutes, NMAC, DFA Policy &amp; NM MAPS Framework</w:t>
      </w:r>
      <w:r w:rsidRPr="000505AA">
        <w:rPr>
          <w:rFonts w:ascii="Times New Roman" w:eastAsia="Times New Roman" w:hAnsi="Times New Roman" w:cs="Times New Roman"/>
          <w:sz w:val="20"/>
          <w:szCs w:val="20"/>
        </w:rPr>
        <w:t> </w:t>
      </w:r>
    </w:p>
    <w:p w14:paraId="20BF197B" w14:textId="77777777" w:rsidR="000505AA" w:rsidRPr="000505AA" w:rsidRDefault="000505AA" w:rsidP="000505AA">
      <w:pPr>
        <w:widowControl/>
        <w:autoSpaceDE/>
        <w:autoSpaceDN/>
        <w:textAlignment w:val="baseline"/>
        <w:rPr>
          <w:rFonts w:ascii="Segoe UI" w:eastAsia="Times New Roman" w:hAnsi="Segoe UI" w:cs="Segoe UI"/>
          <w:sz w:val="18"/>
          <w:szCs w:val="18"/>
        </w:rPr>
      </w:pPr>
      <w:r w:rsidRPr="000505AA">
        <w:rPr>
          <w:rFonts w:ascii="Times New Roman" w:eastAsia="Times New Roman" w:hAnsi="Times New Roman" w:cs="Times New Roman"/>
          <w:sz w:val="32"/>
          <w:szCs w:val="32"/>
        </w:rPr>
        <w:t> </w:t>
      </w:r>
    </w:p>
    <w:p w14:paraId="2B3894B4" w14:textId="0F065497" w:rsidR="000505AA" w:rsidRPr="000505AA" w:rsidRDefault="000505AA" w:rsidP="000505AA">
      <w:pPr>
        <w:widowControl/>
        <w:autoSpaceDE/>
        <w:autoSpaceDN/>
        <w:textAlignment w:val="baseline"/>
        <w:rPr>
          <w:rFonts w:ascii="Segoe UI" w:eastAsia="Times New Roman" w:hAnsi="Segoe UI" w:cs="Segoe UI"/>
          <w:sz w:val="18"/>
          <w:szCs w:val="18"/>
        </w:rPr>
      </w:pPr>
      <w:r w:rsidRPr="000505AA">
        <w:rPr>
          <w:rFonts w:ascii="Times New Roman" w:eastAsia="Times New Roman" w:hAnsi="Times New Roman" w:cs="Times New Roman"/>
          <w:sz w:val="32"/>
          <w:szCs w:val="32"/>
        </w:rPr>
        <w:t> </w:t>
      </w:r>
    </w:p>
    <w:p w14:paraId="7DBE5B95" w14:textId="17148F78" w:rsidR="000505AA" w:rsidRPr="000505AA" w:rsidRDefault="000505AA" w:rsidP="000505AA">
      <w:pPr>
        <w:widowControl/>
        <w:autoSpaceDE/>
        <w:autoSpaceDN/>
        <w:textAlignment w:val="baseline"/>
        <w:rPr>
          <w:rFonts w:ascii="Segoe UI" w:eastAsia="Times New Roman" w:hAnsi="Segoe UI" w:cs="Segoe UI"/>
          <w:sz w:val="18"/>
          <w:szCs w:val="18"/>
        </w:rPr>
      </w:pPr>
      <w:r w:rsidRPr="000505AA">
        <w:rPr>
          <w:rFonts w:ascii="Times New Roman" w:eastAsia="Times New Roman" w:hAnsi="Times New Roman" w:cs="Times New Roman"/>
          <w:sz w:val="32"/>
          <w:szCs w:val="32"/>
        </w:rPr>
        <w:t> </w:t>
      </w:r>
    </w:p>
    <w:p w14:paraId="0ACC661B"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ascii="Cambria" w:eastAsia="Times New Roman" w:hAnsi="Cambria" w:cs="Segoe UI"/>
          <w:b/>
          <w:bCs/>
          <w:color w:val="404040"/>
          <w:sz w:val="28"/>
          <w:szCs w:val="28"/>
        </w:rPr>
        <w:t>PART I</w:t>
      </w:r>
      <w:r w:rsidRPr="000505AA">
        <w:rPr>
          <w:rFonts w:ascii="Cambria" w:eastAsia="Times New Roman" w:hAnsi="Cambria" w:cs="Segoe UI"/>
          <w:color w:val="404040"/>
          <w:sz w:val="28"/>
          <w:szCs w:val="28"/>
        </w:rPr>
        <w:t> </w:t>
      </w:r>
    </w:p>
    <w:p w14:paraId="5E75E0C4"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ascii="Cambria" w:eastAsia="Times New Roman" w:hAnsi="Cambria" w:cs="Segoe UI"/>
          <w:b/>
          <w:bCs/>
          <w:color w:val="404040"/>
          <w:sz w:val="28"/>
          <w:szCs w:val="28"/>
        </w:rPr>
        <w:t>VISUAL CROSSWALK MATRIX</w:t>
      </w:r>
      <w:r w:rsidRPr="000505AA">
        <w:rPr>
          <w:rFonts w:ascii="Cambria" w:eastAsia="Times New Roman" w:hAnsi="Cambria" w:cs="Segoe UI"/>
          <w:color w:val="404040"/>
          <w:sz w:val="28"/>
          <w:szCs w:val="28"/>
        </w:rPr>
        <w:t> </w:t>
      </w:r>
    </w:p>
    <w:p w14:paraId="6B3C9990"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t> </w:t>
      </w:r>
    </w:p>
    <w:p w14:paraId="0EDC2BC4"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b/>
          <w:bCs/>
          <w:i/>
          <w:iCs/>
          <w:color w:val="404040"/>
        </w:rPr>
        <w:t>EXECUTIVE SUMMARY MATRIX</w:t>
      </w:r>
      <w:r w:rsidRPr="000505AA">
        <w:rPr>
          <w:rFonts w:eastAsia="Times New Roman"/>
          <w:color w:val="40404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7"/>
        <w:gridCol w:w="1666"/>
        <w:gridCol w:w="1532"/>
        <w:gridCol w:w="1413"/>
        <w:gridCol w:w="1566"/>
        <w:gridCol w:w="2096"/>
      </w:tblGrid>
      <w:tr w:rsidR="00C42B16" w:rsidRPr="000505AA" w14:paraId="2FBD34F4" w14:textId="77777777">
        <w:trPr>
          <w:trHeight w:val="300"/>
        </w:trPr>
        <w:tc>
          <w:tcPr>
            <w:tcW w:w="2175" w:type="dxa"/>
            <w:tcBorders>
              <w:top w:val="single" w:sz="6" w:space="0" w:color="7F7F7F"/>
              <w:left w:val="nil"/>
              <w:bottom w:val="single" w:sz="6" w:space="0" w:color="7F7F7F"/>
              <w:right w:val="nil"/>
            </w:tcBorders>
            <w:hideMark/>
          </w:tcPr>
          <w:p w14:paraId="2F87BAD2" w14:textId="77777777" w:rsidR="000505AA" w:rsidRPr="000505AA" w:rsidRDefault="000505AA" w:rsidP="000505AA">
            <w:pPr>
              <w:widowControl/>
              <w:autoSpaceDE/>
              <w:autoSpaceDN/>
              <w:ind w:left="495" w:hanging="420"/>
              <w:textAlignment w:val="baseline"/>
              <w:rPr>
                <w:rFonts w:ascii="Times New Roman" w:eastAsia="Times New Roman" w:hAnsi="Times New Roman" w:cs="Times New Roman"/>
                <w:b/>
                <w:bCs/>
                <w:sz w:val="24"/>
                <w:szCs w:val="24"/>
              </w:rPr>
            </w:pPr>
            <w:r w:rsidRPr="000505AA">
              <w:rPr>
                <w:rFonts w:eastAsia="Times New Roman"/>
                <w:b/>
                <w:bCs/>
                <w:sz w:val="18"/>
                <w:szCs w:val="18"/>
              </w:rPr>
              <w:t>Lifecycle Area </w:t>
            </w:r>
          </w:p>
        </w:tc>
        <w:tc>
          <w:tcPr>
            <w:tcW w:w="1800" w:type="dxa"/>
            <w:tcBorders>
              <w:top w:val="single" w:sz="6" w:space="0" w:color="7F7F7F"/>
              <w:left w:val="nil"/>
              <w:bottom w:val="single" w:sz="6" w:space="0" w:color="7F7F7F"/>
              <w:right w:val="nil"/>
            </w:tcBorders>
            <w:hideMark/>
          </w:tcPr>
          <w:p w14:paraId="0516E21C" w14:textId="77777777" w:rsidR="000505AA" w:rsidRPr="000505AA" w:rsidRDefault="000505AA" w:rsidP="000505AA">
            <w:pPr>
              <w:widowControl/>
              <w:autoSpaceDE/>
              <w:autoSpaceDN/>
              <w:ind w:left="495" w:hanging="420"/>
              <w:textAlignment w:val="baseline"/>
              <w:rPr>
                <w:rFonts w:ascii="Times New Roman" w:eastAsia="Times New Roman" w:hAnsi="Times New Roman" w:cs="Times New Roman"/>
                <w:b/>
                <w:bCs/>
                <w:sz w:val="24"/>
                <w:szCs w:val="24"/>
              </w:rPr>
            </w:pPr>
            <w:r w:rsidRPr="000505AA">
              <w:rPr>
                <w:rFonts w:eastAsia="Times New Roman"/>
                <w:b/>
                <w:bCs/>
                <w:sz w:val="18"/>
                <w:szCs w:val="18"/>
              </w:rPr>
              <w:t>Federal Authority </w:t>
            </w:r>
          </w:p>
        </w:tc>
        <w:tc>
          <w:tcPr>
            <w:tcW w:w="1710" w:type="dxa"/>
            <w:tcBorders>
              <w:top w:val="single" w:sz="6" w:space="0" w:color="7F7F7F"/>
              <w:left w:val="nil"/>
              <w:bottom w:val="single" w:sz="6" w:space="0" w:color="7F7F7F"/>
              <w:right w:val="nil"/>
            </w:tcBorders>
            <w:hideMark/>
          </w:tcPr>
          <w:p w14:paraId="59ECFB27" w14:textId="77777777" w:rsidR="000505AA" w:rsidRPr="000505AA" w:rsidRDefault="000505AA" w:rsidP="000505AA">
            <w:pPr>
              <w:widowControl/>
              <w:autoSpaceDE/>
              <w:autoSpaceDN/>
              <w:ind w:left="495" w:hanging="420"/>
              <w:textAlignment w:val="baseline"/>
              <w:rPr>
                <w:rFonts w:ascii="Times New Roman" w:eastAsia="Times New Roman" w:hAnsi="Times New Roman" w:cs="Times New Roman"/>
                <w:b/>
                <w:bCs/>
                <w:sz w:val="24"/>
                <w:szCs w:val="24"/>
              </w:rPr>
            </w:pPr>
            <w:r w:rsidRPr="000505AA">
              <w:rPr>
                <w:rFonts w:eastAsia="Times New Roman"/>
                <w:b/>
                <w:bCs/>
                <w:sz w:val="18"/>
                <w:szCs w:val="18"/>
              </w:rPr>
              <w:t>State Law </w:t>
            </w:r>
          </w:p>
        </w:tc>
        <w:tc>
          <w:tcPr>
            <w:tcW w:w="1545" w:type="dxa"/>
            <w:tcBorders>
              <w:top w:val="single" w:sz="6" w:space="0" w:color="7F7F7F"/>
              <w:left w:val="nil"/>
              <w:bottom w:val="single" w:sz="6" w:space="0" w:color="7F7F7F"/>
              <w:right w:val="nil"/>
            </w:tcBorders>
            <w:hideMark/>
          </w:tcPr>
          <w:p w14:paraId="736BDCBC" w14:textId="77777777" w:rsidR="000505AA" w:rsidRPr="000505AA" w:rsidRDefault="000505AA" w:rsidP="000505AA">
            <w:pPr>
              <w:widowControl/>
              <w:autoSpaceDE/>
              <w:autoSpaceDN/>
              <w:ind w:left="495" w:hanging="420"/>
              <w:textAlignment w:val="baseline"/>
              <w:rPr>
                <w:rFonts w:ascii="Times New Roman" w:eastAsia="Times New Roman" w:hAnsi="Times New Roman" w:cs="Times New Roman"/>
                <w:b/>
                <w:bCs/>
                <w:sz w:val="24"/>
                <w:szCs w:val="24"/>
              </w:rPr>
            </w:pPr>
            <w:r w:rsidRPr="000505AA">
              <w:rPr>
                <w:rFonts w:eastAsia="Times New Roman"/>
                <w:b/>
                <w:bCs/>
                <w:sz w:val="18"/>
                <w:szCs w:val="18"/>
              </w:rPr>
              <w:t>Administrative Rules </w:t>
            </w:r>
          </w:p>
        </w:tc>
        <w:tc>
          <w:tcPr>
            <w:tcW w:w="1710" w:type="dxa"/>
            <w:tcBorders>
              <w:top w:val="single" w:sz="6" w:space="0" w:color="7F7F7F"/>
              <w:left w:val="nil"/>
              <w:bottom w:val="single" w:sz="6" w:space="0" w:color="7F7F7F"/>
              <w:right w:val="nil"/>
            </w:tcBorders>
            <w:hideMark/>
          </w:tcPr>
          <w:p w14:paraId="0C0002C6" w14:textId="77777777" w:rsidR="000505AA" w:rsidRPr="000505AA" w:rsidRDefault="000505AA" w:rsidP="000505AA">
            <w:pPr>
              <w:widowControl/>
              <w:autoSpaceDE/>
              <w:autoSpaceDN/>
              <w:ind w:left="495" w:hanging="420"/>
              <w:textAlignment w:val="baseline"/>
              <w:rPr>
                <w:rFonts w:ascii="Times New Roman" w:eastAsia="Times New Roman" w:hAnsi="Times New Roman" w:cs="Times New Roman"/>
                <w:b/>
                <w:bCs/>
                <w:sz w:val="24"/>
                <w:szCs w:val="24"/>
              </w:rPr>
            </w:pPr>
            <w:r w:rsidRPr="000505AA">
              <w:rPr>
                <w:rFonts w:eastAsia="Times New Roman"/>
                <w:b/>
                <w:bCs/>
                <w:sz w:val="18"/>
                <w:szCs w:val="18"/>
              </w:rPr>
              <w:t>NM MAPS Control Domain </w:t>
            </w:r>
          </w:p>
        </w:tc>
        <w:tc>
          <w:tcPr>
            <w:tcW w:w="2175" w:type="dxa"/>
            <w:tcBorders>
              <w:top w:val="single" w:sz="6" w:space="0" w:color="7F7F7F"/>
              <w:left w:val="nil"/>
              <w:bottom w:val="single" w:sz="6" w:space="0" w:color="7F7F7F"/>
              <w:right w:val="nil"/>
            </w:tcBorders>
            <w:hideMark/>
          </w:tcPr>
          <w:p w14:paraId="77771DC0" w14:textId="77777777" w:rsidR="000505AA" w:rsidRPr="000505AA" w:rsidRDefault="000505AA" w:rsidP="000505AA">
            <w:pPr>
              <w:widowControl/>
              <w:autoSpaceDE/>
              <w:autoSpaceDN/>
              <w:ind w:left="495" w:hanging="420"/>
              <w:textAlignment w:val="baseline"/>
              <w:rPr>
                <w:rFonts w:ascii="Times New Roman" w:eastAsia="Times New Roman" w:hAnsi="Times New Roman" w:cs="Times New Roman"/>
                <w:b/>
                <w:bCs/>
                <w:sz w:val="24"/>
                <w:szCs w:val="24"/>
              </w:rPr>
            </w:pPr>
            <w:r w:rsidRPr="000505AA">
              <w:rPr>
                <w:rFonts w:eastAsia="Times New Roman"/>
                <w:b/>
                <w:bCs/>
                <w:sz w:val="18"/>
                <w:szCs w:val="18"/>
              </w:rPr>
              <w:t>Operational Impact </w:t>
            </w:r>
          </w:p>
        </w:tc>
      </w:tr>
      <w:tr w:rsidR="00C42B16" w:rsidRPr="000505AA" w14:paraId="7F959A9A" w14:textId="77777777">
        <w:trPr>
          <w:trHeight w:val="300"/>
        </w:trPr>
        <w:tc>
          <w:tcPr>
            <w:tcW w:w="2175" w:type="dxa"/>
            <w:tcBorders>
              <w:top w:val="single" w:sz="6" w:space="0" w:color="7F7F7F"/>
              <w:left w:val="nil"/>
              <w:bottom w:val="single" w:sz="6" w:space="0" w:color="7F7F7F"/>
              <w:right w:val="nil"/>
            </w:tcBorders>
            <w:hideMark/>
          </w:tcPr>
          <w:p w14:paraId="08A54531" w14:textId="77777777" w:rsidR="000505AA" w:rsidRPr="000505AA" w:rsidRDefault="000505AA" w:rsidP="000505AA">
            <w:pPr>
              <w:widowControl/>
              <w:autoSpaceDE/>
              <w:autoSpaceDN/>
              <w:textAlignment w:val="baseline"/>
              <w:rPr>
                <w:rFonts w:ascii="Times New Roman" w:eastAsia="Times New Roman" w:hAnsi="Times New Roman" w:cs="Times New Roman"/>
                <w:b/>
                <w:bCs/>
                <w:sz w:val="24"/>
                <w:szCs w:val="24"/>
              </w:rPr>
            </w:pPr>
            <w:r w:rsidRPr="000505AA">
              <w:rPr>
                <w:rFonts w:eastAsia="Times New Roman"/>
                <w:b/>
                <w:bCs/>
                <w:sz w:val="20"/>
                <w:szCs w:val="20"/>
              </w:rPr>
              <w:t>Internal Controls </w:t>
            </w:r>
          </w:p>
        </w:tc>
        <w:tc>
          <w:tcPr>
            <w:tcW w:w="1800" w:type="dxa"/>
            <w:tcBorders>
              <w:top w:val="single" w:sz="6" w:space="0" w:color="7F7F7F"/>
              <w:left w:val="nil"/>
              <w:bottom w:val="single" w:sz="6" w:space="0" w:color="7F7F7F"/>
              <w:right w:val="nil"/>
            </w:tcBorders>
            <w:hideMark/>
          </w:tcPr>
          <w:p w14:paraId="475C2664"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 CFR §200.303 </w:t>
            </w:r>
          </w:p>
        </w:tc>
        <w:tc>
          <w:tcPr>
            <w:tcW w:w="1710" w:type="dxa"/>
            <w:tcBorders>
              <w:top w:val="single" w:sz="6" w:space="0" w:color="7F7F7F"/>
              <w:left w:val="nil"/>
              <w:bottom w:val="single" w:sz="6" w:space="0" w:color="7F7F7F"/>
              <w:right w:val="nil"/>
            </w:tcBorders>
            <w:hideMark/>
          </w:tcPr>
          <w:p w14:paraId="3539B002"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State Audit Act </w:t>
            </w:r>
          </w:p>
        </w:tc>
        <w:tc>
          <w:tcPr>
            <w:tcW w:w="1545" w:type="dxa"/>
            <w:tcBorders>
              <w:top w:val="single" w:sz="6" w:space="0" w:color="7F7F7F"/>
              <w:left w:val="nil"/>
              <w:bottom w:val="single" w:sz="6" w:space="0" w:color="7F7F7F"/>
              <w:right w:val="nil"/>
            </w:tcBorders>
            <w:hideMark/>
          </w:tcPr>
          <w:p w14:paraId="012202DD"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2.2.2 NMAC </w:t>
            </w:r>
          </w:p>
        </w:tc>
        <w:tc>
          <w:tcPr>
            <w:tcW w:w="1710" w:type="dxa"/>
            <w:tcBorders>
              <w:top w:val="single" w:sz="6" w:space="0" w:color="7F7F7F"/>
              <w:left w:val="nil"/>
              <w:bottom w:val="single" w:sz="6" w:space="0" w:color="7F7F7F"/>
              <w:right w:val="nil"/>
            </w:tcBorders>
            <w:hideMark/>
          </w:tcPr>
          <w:p w14:paraId="10D48C5D"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COSO-based Internal Control </w:t>
            </w:r>
          </w:p>
        </w:tc>
        <w:tc>
          <w:tcPr>
            <w:tcW w:w="2175" w:type="dxa"/>
            <w:tcBorders>
              <w:top w:val="single" w:sz="6" w:space="0" w:color="7F7F7F"/>
              <w:left w:val="nil"/>
              <w:bottom w:val="single" w:sz="6" w:space="0" w:color="7F7F7F"/>
              <w:right w:val="nil"/>
            </w:tcBorders>
            <w:hideMark/>
          </w:tcPr>
          <w:p w14:paraId="4519887A"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Segregation of duties; documented oversight </w:t>
            </w:r>
          </w:p>
        </w:tc>
      </w:tr>
      <w:tr w:rsidR="00C42B16" w:rsidRPr="000505AA" w14:paraId="75D24E77" w14:textId="77777777">
        <w:trPr>
          <w:trHeight w:val="300"/>
        </w:trPr>
        <w:tc>
          <w:tcPr>
            <w:tcW w:w="2175" w:type="dxa"/>
            <w:tcBorders>
              <w:top w:val="nil"/>
              <w:left w:val="nil"/>
              <w:bottom w:val="nil"/>
              <w:right w:val="nil"/>
            </w:tcBorders>
            <w:hideMark/>
          </w:tcPr>
          <w:p w14:paraId="29590C38" w14:textId="77777777" w:rsidR="000505AA" w:rsidRPr="000505AA" w:rsidRDefault="000505AA" w:rsidP="000505AA">
            <w:pPr>
              <w:widowControl/>
              <w:autoSpaceDE/>
              <w:autoSpaceDN/>
              <w:textAlignment w:val="baseline"/>
              <w:rPr>
                <w:rFonts w:ascii="Times New Roman" w:eastAsia="Times New Roman" w:hAnsi="Times New Roman" w:cs="Times New Roman"/>
                <w:b/>
                <w:bCs/>
                <w:sz w:val="24"/>
                <w:szCs w:val="24"/>
              </w:rPr>
            </w:pPr>
            <w:r w:rsidRPr="000505AA">
              <w:rPr>
                <w:rFonts w:eastAsia="Times New Roman"/>
                <w:b/>
                <w:bCs/>
                <w:sz w:val="20"/>
                <w:szCs w:val="20"/>
              </w:rPr>
              <w:t>Risk Assessment </w:t>
            </w:r>
          </w:p>
        </w:tc>
        <w:tc>
          <w:tcPr>
            <w:tcW w:w="1800" w:type="dxa"/>
            <w:tcBorders>
              <w:top w:val="nil"/>
              <w:left w:val="nil"/>
              <w:bottom w:val="nil"/>
              <w:right w:val="nil"/>
            </w:tcBorders>
            <w:hideMark/>
          </w:tcPr>
          <w:p w14:paraId="58368700"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§200.206; §200.332 </w:t>
            </w:r>
          </w:p>
        </w:tc>
        <w:tc>
          <w:tcPr>
            <w:tcW w:w="1710" w:type="dxa"/>
            <w:tcBorders>
              <w:top w:val="nil"/>
              <w:left w:val="nil"/>
              <w:bottom w:val="nil"/>
              <w:right w:val="nil"/>
            </w:tcBorders>
            <w:hideMark/>
          </w:tcPr>
          <w:p w14:paraId="3EE5EFDB"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State Audit Act </w:t>
            </w:r>
          </w:p>
        </w:tc>
        <w:tc>
          <w:tcPr>
            <w:tcW w:w="1545" w:type="dxa"/>
            <w:tcBorders>
              <w:top w:val="nil"/>
              <w:left w:val="nil"/>
              <w:bottom w:val="nil"/>
              <w:right w:val="nil"/>
            </w:tcBorders>
            <w:hideMark/>
          </w:tcPr>
          <w:p w14:paraId="162F6AC5"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DFA FCD Guidance </w:t>
            </w:r>
          </w:p>
        </w:tc>
        <w:tc>
          <w:tcPr>
            <w:tcW w:w="1710" w:type="dxa"/>
            <w:tcBorders>
              <w:top w:val="nil"/>
              <w:left w:val="nil"/>
              <w:bottom w:val="nil"/>
              <w:right w:val="nil"/>
            </w:tcBorders>
            <w:hideMark/>
          </w:tcPr>
          <w:p w14:paraId="341FC29C"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Enterprise Risk Mgmt </w:t>
            </w:r>
          </w:p>
        </w:tc>
        <w:tc>
          <w:tcPr>
            <w:tcW w:w="2175" w:type="dxa"/>
            <w:tcBorders>
              <w:top w:val="nil"/>
              <w:left w:val="nil"/>
              <w:bottom w:val="nil"/>
              <w:right w:val="nil"/>
            </w:tcBorders>
            <w:hideMark/>
          </w:tcPr>
          <w:p w14:paraId="4179B99B"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Pre-award and subrecipient risk review </w:t>
            </w:r>
          </w:p>
        </w:tc>
      </w:tr>
      <w:tr w:rsidR="00C42B16" w:rsidRPr="000505AA" w14:paraId="2B87DFB6" w14:textId="77777777">
        <w:trPr>
          <w:trHeight w:val="300"/>
        </w:trPr>
        <w:tc>
          <w:tcPr>
            <w:tcW w:w="2175" w:type="dxa"/>
            <w:tcBorders>
              <w:top w:val="single" w:sz="6" w:space="0" w:color="7F7F7F"/>
              <w:left w:val="nil"/>
              <w:bottom w:val="single" w:sz="6" w:space="0" w:color="7F7F7F"/>
              <w:right w:val="nil"/>
            </w:tcBorders>
            <w:hideMark/>
          </w:tcPr>
          <w:p w14:paraId="20191F4C" w14:textId="77777777" w:rsidR="000505AA" w:rsidRPr="000505AA" w:rsidRDefault="000505AA" w:rsidP="000505AA">
            <w:pPr>
              <w:widowControl/>
              <w:autoSpaceDE/>
              <w:autoSpaceDN/>
              <w:textAlignment w:val="baseline"/>
              <w:rPr>
                <w:rFonts w:ascii="Times New Roman" w:eastAsia="Times New Roman" w:hAnsi="Times New Roman" w:cs="Times New Roman"/>
                <w:b/>
                <w:bCs/>
                <w:sz w:val="24"/>
                <w:szCs w:val="24"/>
              </w:rPr>
            </w:pPr>
            <w:r w:rsidRPr="000505AA">
              <w:rPr>
                <w:rFonts w:eastAsia="Times New Roman"/>
                <w:b/>
                <w:bCs/>
                <w:sz w:val="20"/>
                <w:szCs w:val="20"/>
              </w:rPr>
              <w:t>Procurement </w:t>
            </w:r>
          </w:p>
        </w:tc>
        <w:tc>
          <w:tcPr>
            <w:tcW w:w="1800" w:type="dxa"/>
            <w:tcBorders>
              <w:top w:val="single" w:sz="6" w:space="0" w:color="7F7F7F"/>
              <w:left w:val="nil"/>
              <w:bottom w:val="single" w:sz="6" w:space="0" w:color="7F7F7F"/>
              <w:right w:val="nil"/>
            </w:tcBorders>
            <w:hideMark/>
          </w:tcPr>
          <w:p w14:paraId="7ED26805"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§§200.317–327 </w:t>
            </w:r>
          </w:p>
        </w:tc>
        <w:tc>
          <w:tcPr>
            <w:tcW w:w="1710" w:type="dxa"/>
            <w:tcBorders>
              <w:top w:val="single" w:sz="6" w:space="0" w:color="7F7F7F"/>
              <w:left w:val="nil"/>
              <w:bottom w:val="single" w:sz="6" w:space="0" w:color="7F7F7F"/>
              <w:right w:val="nil"/>
            </w:tcBorders>
            <w:hideMark/>
          </w:tcPr>
          <w:p w14:paraId="68ED779B"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Procurement Code (13-1-28 NMSA et seq.) </w:t>
            </w:r>
          </w:p>
        </w:tc>
        <w:tc>
          <w:tcPr>
            <w:tcW w:w="1545" w:type="dxa"/>
            <w:tcBorders>
              <w:top w:val="single" w:sz="6" w:space="0" w:color="7F7F7F"/>
              <w:left w:val="nil"/>
              <w:bottom w:val="single" w:sz="6" w:space="0" w:color="7F7F7F"/>
              <w:right w:val="nil"/>
            </w:tcBorders>
            <w:hideMark/>
          </w:tcPr>
          <w:p w14:paraId="791275CF"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1.4 NMAC; 2.20.1 NMAC </w:t>
            </w:r>
          </w:p>
        </w:tc>
        <w:tc>
          <w:tcPr>
            <w:tcW w:w="1710" w:type="dxa"/>
            <w:tcBorders>
              <w:top w:val="single" w:sz="6" w:space="0" w:color="7F7F7F"/>
              <w:left w:val="nil"/>
              <w:bottom w:val="single" w:sz="6" w:space="0" w:color="7F7F7F"/>
              <w:right w:val="nil"/>
            </w:tcBorders>
            <w:hideMark/>
          </w:tcPr>
          <w:p w14:paraId="543E73BE"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Monitoring &amp; Transparency </w:t>
            </w:r>
          </w:p>
        </w:tc>
        <w:tc>
          <w:tcPr>
            <w:tcW w:w="2175" w:type="dxa"/>
            <w:tcBorders>
              <w:top w:val="single" w:sz="6" w:space="0" w:color="7F7F7F"/>
              <w:left w:val="nil"/>
              <w:bottom w:val="single" w:sz="6" w:space="0" w:color="7F7F7F"/>
              <w:right w:val="nil"/>
            </w:tcBorders>
            <w:hideMark/>
          </w:tcPr>
          <w:p w14:paraId="7AEB2F70"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Dual compliance required for federal funds </w:t>
            </w:r>
          </w:p>
        </w:tc>
      </w:tr>
      <w:tr w:rsidR="00C42B16" w:rsidRPr="000505AA" w14:paraId="393C665E" w14:textId="77777777">
        <w:trPr>
          <w:trHeight w:val="300"/>
        </w:trPr>
        <w:tc>
          <w:tcPr>
            <w:tcW w:w="2175" w:type="dxa"/>
            <w:tcBorders>
              <w:top w:val="nil"/>
              <w:left w:val="nil"/>
              <w:bottom w:val="nil"/>
              <w:right w:val="nil"/>
            </w:tcBorders>
            <w:hideMark/>
          </w:tcPr>
          <w:p w14:paraId="169E250F" w14:textId="77777777" w:rsidR="000505AA" w:rsidRPr="000505AA" w:rsidRDefault="000505AA" w:rsidP="000505AA">
            <w:pPr>
              <w:widowControl/>
              <w:autoSpaceDE/>
              <w:autoSpaceDN/>
              <w:textAlignment w:val="baseline"/>
              <w:rPr>
                <w:rFonts w:ascii="Times New Roman" w:eastAsia="Times New Roman" w:hAnsi="Times New Roman" w:cs="Times New Roman"/>
                <w:b/>
                <w:bCs/>
                <w:sz w:val="24"/>
                <w:szCs w:val="24"/>
              </w:rPr>
            </w:pPr>
            <w:r w:rsidRPr="000505AA">
              <w:rPr>
                <w:rFonts w:eastAsia="Times New Roman"/>
                <w:b/>
                <w:bCs/>
                <w:sz w:val="20"/>
                <w:szCs w:val="20"/>
              </w:rPr>
              <w:t>Financial Systems </w:t>
            </w:r>
          </w:p>
        </w:tc>
        <w:tc>
          <w:tcPr>
            <w:tcW w:w="1800" w:type="dxa"/>
            <w:tcBorders>
              <w:top w:val="nil"/>
              <w:left w:val="nil"/>
              <w:bottom w:val="nil"/>
              <w:right w:val="nil"/>
            </w:tcBorders>
            <w:hideMark/>
          </w:tcPr>
          <w:p w14:paraId="4C005F0E"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§200.302 </w:t>
            </w:r>
          </w:p>
        </w:tc>
        <w:tc>
          <w:tcPr>
            <w:tcW w:w="1710" w:type="dxa"/>
            <w:tcBorders>
              <w:top w:val="nil"/>
              <w:left w:val="nil"/>
              <w:bottom w:val="nil"/>
              <w:right w:val="nil"/>
            </w:tcBorders>
            <w:hideMark/>
          </w:tcPr>
          <w:p w14:paraId="454B752D"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Appropriations Act </w:t>
            </w:r>
          </w:p>
        </w:tc>
        <w:tc>
          <w:tcPr>
            <w:tcW w:w="1545" w:type="dxa"/>
            <w:tcBorders>
              <w:top w:val="nil"/>
              <w:left w:val="nil"/>
              <w:bottom w:val="nil"/>
              <w:right w:val="nil"/>
            </w:tcBorders>
            <w:hideMark/>
          </w:tcPr>
          <w:p w14:paraId="7ADB180F"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2.2.2 NMAC; SHARE Rules </w:t>
            </w:r>
          </w:p>
        </w:tc>
        <w:tc>
          <w:tcPr>
            <w:tcW w:w="1710" w:type="dxa"/>
            <w:tcBorders>
              <w:top w:val="nil"/>
              <w:left w:val="nil"/>
              <w:bottom w:val="nil"/>
              <w:right w:val="nil"/>
            </w:tcBorders>
            <w:hideMark/>
          </w:tcPr>
          <w:p w14:paraId="4236FA0D"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Control Activities </w:t>
            </w:r>
          </w:p>
        </w:tc>
        <w:tc>
          <w:tcPr>
            <w:tcW w:w="2175" w:type="dxa"/>
            <w:tcBorders>
              <w:top w:val="nil"/>
              <w:left w:val="nil"/>
              <w:bottom w:val="nil"/>
              <w:right w:val="nil"/>
            </w:tcBorders>
            <w:hideMark/>
          </w:tcPr>
          <w:p w14:paraId="52238F47"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Project-level tracking &amp; reconciliation </w:t>
            </w:r>
          </w:p>
        </w:tc>
      </w:tr>
      <w:tr w:rsidR="00C42B16" w:rsidRPr="000505AA" w14:paraId="4A43DE3B" w14:textId="77777777">
        <w:trPr>
          <w:trHeight w:val="300"/>
        </w:trPr>
        <w:tc>
          <w:tcPr>
            <w:tcW w:w="2175" w:type="dxa"/>
            <w:tcBorders>
              <w:top w:val="single" w:sz="6" w:space="0" w:color="7F7F7F"/>
              <w:left w:val="nil"/>
              <w:bottom w:val="single" w:sz="6" w:space="0" w:color="7F7F7F"/>
              <w:right w:val="nil"/>
            </w:tcBorders>
            <w:hideMark/>
          </w:tcPr>
          <w:p w14:paraId="5D2FFA3D" w14:textId="77777777" w:rsidR="000505AA" w:rsidRPr="000505AA" w:rsidRDefault="000505AA" w:rsidP="000505AA">
            <w:pPr>
              <w:widowControl/>
              <w:autoSpaceDE/>
              <w:autoSpaceDN/>
              <w:textAlignment w:val="baseline"/>
              <w:rPr>
                <w:rFonts w:ascii="Times New Roman" w:eastAsia="Times New Roman" w:hAnsi="Times New Roman" w:cs="Times New Roman"/>
                <w:b/>
                <w:bCs/>
                <w:sz w:val="24"/>
                <w:szCs w:val="24"/>
              </w:rPr>
            </w:pPr>
            <w:r w:rsidRPr="000505AA">
              <w:rPr>
                <w:rFonts w:eastAsia="Times New Roman"/>
                <w:b/>
                <w:bCs/>
                <w:sz w:val="20"/>
                <w:szCs w:val="20"/>
              </w:rPr>
              <w:t>Allowable Costs </w:t>
            </w:r>
          </w:p>
        </w:tc>
        <w:tc>
          <w:tcPr>
            <w:tcW w:w="1800" w:type="dxa"/>
            <w:tcBorders>
              <w:top w:val="single" w:sz="6" w:space="0" w:color="7F7F7F"/>
              <w:left w:val="nil"/>
              <w:bottom w:val="single" w:sz="6" w:space="0" w:color="7F7F7F"/>
              <w:right w:val="nil"/>
            </w:tcBorders>
            <w:hideMark/>
          </w:tcPr>
          <w:p w14:paraId="149FEB0D"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§§200.403–405 </w:t>
            </w:r>
          </w:p>
        </w:tc>
        <w:tc>
          <w:tcPr>
            <w:tcW w:w="1710" w:type="dxa"/>
            <w:tcBorders>
              <w:top w:val="single" w:sz="6" w:space="0" w:color="7F7F7F"/>
              <w:left w:val="nil"/>
              <w:bottom w:val="single" w:sz="6" w:space="0" w:color="7F7F7F"/>
              <w:right w:val="nil"/>
            </w:tcBorders>
            <w:hideMark/>
          </w:tcPr>
          <w:p w14:paraId="560912FC"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Appropriation Language </w:t>
            </w:r>
          </w:p>
        </w:tc>
        <w:tc>
          <w:tcPr>
            <w:tcW w:w="1545" w:type="dxa"/>
            <w:tcBorders>
              <w:top w:val="single" w:sz="6" w:space="0" w:color="7F7F7F"/>
              <w:left w:val="nil"/>
              <w:bottom w:val="single" w:sz="6" w:space="0" w:color="7F7F7F"/>
              <w:right w:val="nil"/>
            </w:tcBorders>
            <w:hideMark/>
          </w:tcPr>
          <w:p w14:paraId="352A2F67"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DFA Object Codes </w:t>
            </w:r>
          </w:p>
        </w:tc>
        <w:tc>
          <w:tcPr>
            <w:tcW w:w="1710" w:type="dxa"/>
            <w:tcBorders>
              <w:top w:val="single" w:sz="6" w:space="0" w:color="7F7F7F"/>
              <w:left w:val="nil"/>
              <w:bottom w:val="single" w:sz="6" w:space="0" w:color="7F7F7F"/>
              <w:right w:val="nil"/>
            </w:tcBorders>
            <w:hideMark/>
          </w:tcPr>
          <w:p w14:paraId="2E6964CD"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Fiscal Oversight </w:t>
            </w:r>
          </w:p>
        </w:tc>
        <w:tc>
          <w:tcPr>
            <w:tcW w:w="2175" w:type="dxa"/>
            <w:tcBorders>
              <w:top w:val="single" w:sz="6" w:space="0" w:color="7F7F7F"/>
              <w:left w:val="nil"/>
              <w:bottom w:val="single" w:sz="6" w:space="0" w:color="7F7F7F"/>
              <w:right w:val="nil"/>
            </w:tcBorders>
            <w:hideMark/>
          </w:tcPr>
          <w:p w14:paraId="1C4CD2E8"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Must meet both federal cost principles &amp; state classification </w:t>
            </w:r>
          </w:p>
        </w:tc>
      </w:tr>
      <w:tr w:rsidR="00C42B16" w:rsidRPr="000505AA" w14:paraId="388E9F1A" w14:textId="77777777">
        <w:trPr>
          <w:trHeight w:val="300"/>
        </w:trPr>
        <w:tc>
          <w:tcPr>
            <w:tcW w:w="2175" w:type="dxa"/>
            <w:tcBorders>
              <w:top w:val="nil"/>
              <w:left w:val="nil"/>
              <w:bottom w:val="nil"/>
              <w:right w:val="nil"/>
            </w:tcBorders>
            <w:hideMark/>
          </w:tcPr>
          <w:p w14:paraId="28B15002" w14:textId="77777777" w:rsidR="000505AA" w:rsidRPr="000505AA" w:rsidRDefault="000505AA" w:rsidP="000505AA">
            <w:pPr>
              <w:widowControl/>
              <w:autoSpaceDE/>
              <w:autoSpaceDN/>
              <w:textAlignment w:val="baseline"/>
              <w:rPr>
                <w:rFonts w:ascii="Times New Roman" w:eastAsia="Times New Roman" w:hAnsi="Times New Roman" w:cs="Times New Roman"/>
                <w:b/>
                <w:bCs/>
                <w:sz w:val="24"/>
                <w:szCs w:val="24"/>
              </w:rPr>
            </w:pPr>
            <w:r w:rsidRPr="000505AA">
              <w:rPr>
                <w:rFonts w:eastAsia="Times New Roman"/>
                <w:b/>
                <w:bCs/>
                <w:sz w:val="20"/>
                <w:szCs w:val="20"/>
              </w:rPr>
              <w:t>Cash Management </w:t>
            </w:r>
          </w:p>
        </w:tc>
        <w:tc>
          <w:tcPr>
            <w:tcW w:w="1800" w:type="dxa"/>
            <w:tcBorders>
              <w:top w:val="nil"/>
              <w:left w:val="nil"/>
              <w:bottom w:val="nil"/>
              <w:right w:val="nil"/>
            </w:tcBorders>
            <w:hideMark/>
          </w:tcPr>
          <w:p w14:paraId="355716A6"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§200.305 </w:t>
            </w:r>
          </w:p>
        </w:tc>
        <w:tc>
          <w:tcPr>
            <w:tcW w:w="1710" w:type="dxa"/>
            <w:tcBorders>
              <w:top w:val="nil"/>
              <w:left w:val="nil"/>
              <w:bottom w:val="nil"/>
              <w:right w:val="nil"/>
            </w:tcBorders>
            <w:hideMark/>
          </w:tcPr>
          <w:p w14:paraId="690CA170"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State Treasury statutes </w:t>
            </w:r>
          </w:p>
        </w:tc>
        <w:tc>
          <w:tcPr>
            <w:tcW w:w="1545" w:type="dxa"/>
            <w:tcBorders>
              <w:top w:val="nil"/>
              <w:left w:val="nil"/>
              <w:bottom w:val="nil"/>
              <w:right w:val="nil"/>
            </w:tcBorders>
            <w:hideMark/>
          </w:tcPr>
          <w:p w14:paraId="249A3C4D"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DFA FCD Procedures </w:t>
            </w:r>
          </w:p>
        </w:tc>
        <w:tc>
          <w:tcPr>
            <w:tcW w:w="1710" w:type="dxa"/>
            <w:tcBorders>
              <w:top w:val="nil"/>
              <w:left w:val="nil"/>
              <w:bottom w:val="nil"/>
              <w:right w:val="nil"/>
            </w:tcBorders>
            <w:hideMark/>
          </w:tcPr>
          <w:p w14:paraId="4C081E0E"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Liquidity Risk Controls </w:t>
            </w:r>
          </w:p>
        </w:tc>
        <w:tc>
          <w:tcPr>
            <w:tcW w:w="2175" w:type="dxa"/>
            <w:tcBorders>
              <w:top w:val="nil"/>
              <w:left w:val="nil"/>
              <w:bottom w:val="nil"/>
              <w:right w:val="nil"/>
            </w:tcBorders>
            <w:hideMark/>
          </w:tcPr>
          <w:p w14:paraId="6E75CEE2"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Minimize drawdown timing </w:t>
            </w:r>
          </w:p>
        </w:tc>
      </w:tr>
      <w:tr w:rsidR="00C42B16" w:rsidRPr="000505AA" w14:paraId="31F4E091" w14:textId="77777777">
        <w:trPr>
          <w:trHeight w:val="300"/>
        </w:trPr>
        <w:tc>
          <w:tcPr>
            <w:tcW w:w="2175" w:type="dxa"/>
            <w:tcBorders>
              <w:top w:val="single" w:sz="6" w:space="0" w:color="7F7F7F"/>
              <w:left w:val="nil"/>
              <w:bottom w:val="single" w:sz="6" w:space="0" w:color="7F7F7F"/>
              <w:right w:val="nil"/>
            </w:tcBorders>
            <w:hideMark/>
          </w:tcPr>
          <w:p w14:paraId="527A6A9B" w14:textId="77777777" w:rsidR="000505AA" w:rsidRPr="000505AA" w:rsidRDefault="000505AA" w:rsidP="000505AA">
            <w:pPr>
              <w:widowControl/>
              <w:autoSpaceDE/>
              <w:autoSpaceDN/>
              <w:textAlignment w:val="baseline"/>
              <w:rPr>
                <w:rFonts w:ascii="Times New Roman" w:eastAsia="Times New Roman" w:hAnsi="Times New Roman" w:cs="Times New Roman"/>
                <w:b/>
                <w:bCs/>
                <w:sz w:val="24"/>
                <w:szCs w:val="24"/>
              </w:rPr>
            </w:pPr>
            <w:r w:rsidRPr="000505AA">
              <w:rPr>
                <w:rFonts w:eastAsia="Times New Roman"/>
                <w:b/>
                <w:bCs/>
                <w:sz w:val="20"/>
                <w:szCs w:val="20"/>
              </w:rPr>
              <w:t>Subrecipient Monitoring </w:t>
            </w:r>
          </w:p>
        </w:tc>
        <w:tc>
          <w:tcPr>
            <w:tcW w:w="1800" w:type="dxa"/>
            <w:tcBorders>
              <w:top w:val="single" w:sz="6" w:space="0" w:color="7F7F7F"/>
              <w:left w:val="nil"/>
              <w:bottom w:val="single" w:sz="6" w:space="0" w:color="7F7F7F"/>
              <w:right w:val="nil"/>
            </w:tcBorders>
            <w:hideMark/>
          </w:tcPr>
          <w:p w14:paraId="3D58A50F"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§200.332 </w:t>
            </w:r>
          </w:p>
        </w:tc>
        <w:tc>
          <w:tcPr>
            <w:tcW w:w="1710" w:type="dxa"/>
            <w:tcBorders>
              <w:top w:val="single" w:sz="6" w:space="0" w:color="7F7F7F"/>
              <w:left w:val="nil"/>
              <w:bottom w:val="single" w:sz="6" w:space="0" w:color="7F7F7F"/>
              <w:right w:val="nil"/>
            </w:tcBorders>
            <w:hideMark/>
          </w:tcPr>
          <w:p w14:paraId="0CC107BE"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State Audit Act </w:t>
            </w:r>
          </w:p>
        </w:tc>
        <w:tc>
          <w:tcPr>
            <w:tcW w:w="1545" w:type="dxa"/>
            <w:tcBorders>
              <w:top w:val="single" w:sz="6" w:space="0" w:color="7F7F7F"/>
              <w:left w:val="nil"/>
              <w:bottom w:val="single" w:sz="6" w:space="0" w:color="7F7F7F"/>
              <w:right w:val="nil"/>
            </w:tcBorders>
            <w:hideMark/>
          </w:tcPr>
          <w:p w14:paraId="6452CEF3"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2.20.1 NMAC </w:t>
            </w:r>
          </w:p>
        </w:tc>
        <w:tc>
          <w:tcPr>
            <w:tcW w:w="1710" w:type="dxa"/>
            <w:tcBorders>
              <w:top w:val="single" w:sz="6" w:space="0" w:color="7F7F7F"/>
              <w:left w:val="nil"/>
              <w:bottom w:val="single" w:sz="6" w:space="0" w:color="7F7F7F"/>
              <w:right w:val="nil"/>
            </w:tcBorders>
            <w:hideMark/>
          </w:tcPr>
          <w:p w14:paraId="57DA32B1"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Risk-Based Monitoring </w:t>
            </w:r>
          </w:p>
        </w:tc>
        <w:tc>
          <w:tcPr>
            <w:tcW w:w="2175" w:type="dxa"/>
            <w:tcBorders>
              <w:top w:val="single" w:sz="6" w:space="0" w:color="7F7F7F"/>
              <w:left w:val="nil"/>
              <w:bottom w:val="single" w:sz="6" w:space="0" w:color="7F7F7F"/>
              <w:right w:val="nil"/>
            </w:tcBorders>
            <w:hideMark/>
          </w:tcPr>
          <w:p w14:paraId="68D79826"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Documented oversight &amp; corrective actions </w:t>
            </w:r>
          </w:p>
        </w:tc>
      </w:tr>
      <w:tr w:rsidR="00C42B16" w:rsidRPr="000505AA" w14:paraId="56CD4B26" w14:textId="77777777">
        <w:trPr>
          <w:trHeight w:val="300"/>
        </w:trPr>
        <w:tc>
          <w:tcPr>
            <w:tcW w:w="2175" w:type="dxa"/>
            <w:tcBorders>
              <w:top w:val="nil"/>
              <w:left w:val="nil"/>
              <w:bottom w:val="nil"/>
              <w:right w:val="nil"/>
            </w:tcBorders>
            <w:hideMark/>
          </w:tcPr>
          <w:p w14:paraId="1A57F0B2" w14:textId="77777777" w:rsidR="000505AA" w:rsidRPr="000505AA" w:rsidRDefault="000505AA" w:rsidP="000505AA">
            <w:pPr>
              <w:widowControl/>
              <w:autoSpaceDE/>
              <w:autoSpaceDN/>
              <w:textAlignment w:val="baseline"/>
              <w:rPr>
                <w:rFonts w:ascii="Times New Roman" w:eastAsia="Times New Roman" w:hAnsi="Times New Roman" w:cs="Times New Roman"/>
                <w:b/>
                <w:bCs/>
                <w:sz w:val="24"/>
                <w:szCs w:val="24"/>
              </w:rPr>
            </w:pPr>
            <w:r w:rsidRPr="000505AA">
              <w:rPr>
                <w:rFonts w:eastAsia="Times New Roman"/>
                <w:b/>
                <w:bCs/>
                <w:sz w:val="20"/>
                <w:szCs w:val="20"/>
              </w:rPr>
              <w:t>Performance Reporting </w:t>
            </w:r>
          </w:p>
        </w:tc>
        <w:tc>
          <w:tcPr>
            <w:tcW w:w="1800" w:type="dxa"/>
            <w:tcBorders>
              <w:top w:val="nil"/>
              <w:left w:val="nil"/>
              <w:bottom w:val="nil"/>
              <w:right w:val="nil"/>
            </w:tcBorders>
            <w:hideMark/>
          </w:tcPr>
          <w:p w14:paraId="3AB9A439"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§200.301; §200.329 </w:t>
            </w:r>
          </w:p>
        </w:tc>
        <w:tc>
          <w:tcPr>
            <w:tcW w:w="1710" w:type="dxa"/>
            <w:tcBorders>
              <w:top w:val="nil"/>
              <w:left w:val="nil"/>
              <w:bottom w:val="nil"/>
              <w:right w:val="nil"/>
            </w:tcBorders>
            <w:hideMark/>
          </w:tcPr>
          <w:p w14:paraId="7EDDE416"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Legislative reporting statutes </w:t>
            </w:r>
          </w:p>
        </w:tc>
        <w:tc>
          <w:tcPr>
            <w:tcW w:w="1545" w:type="dxa"/>
            <w:tcBorders>
              <w:top w:val="nil"/>
              <w:left w:val="nil"/>
              <w:bottom w:val="nil"/>
              <w:right w:val="nil"/>
            </w:tcBorders>
            <w:hideMark/>
          </w:tcPr>
          <w:p w14:paraId="218427D7"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DFA reporting guidance </w:t>
            </w:r>
          </w:p>
        </w:tc>
        <w:tc>
          <w:tcPr>
            <w:tcW w:w="1710" w:type="dxa"/>
            <w:tcBorders>
              <w:top w:val="nil"/>
              <w:left w:val="nil"/>
              <w:bottom w:val="nil"/>
              <w:right w:val="nil"/>
            </w:tcBorders>
            <w:hideMark/>
          </w:tcPr>
          <w:p w14:paraId="65F922B8"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Accountability Documentation </w:t>
            </w:r>
          </w:p>
        </w:tc>
        <w:tc>
          <w:tcPr>
            <w:tcW w:w="2175" w:type="dxa"/>
            <w:tcBorders>
              <w:top w:val="nil"/>
              <w:left w:val="nil"/>
              <w:bottom w:val="nil"/>
              <w:right w:val="nil"/>
            </w:tcBorders>
            <w:hideMark/>
          </w:tcPr>
          <w:p w14:paraId="21B5CEDA"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Performance + fiscal alignment </w:t>
            </w:r>
          </w:p>
        </w:tc>
      </w:tr>
      <w:tr w:rsidR="00C42B16" w:rsidRPr="000505AA" w14:paraId="24653873" w14:textId="77777777">
        <w:trPr>
          <w:trHeight w:val="300"/>
        </w:trPr>
        <w:tc>
          <w:tcPr>
            <w:tcW w:w="2175" w:type="dxa"/>
            <w:tcBorders>
              <w:top w:val="single" w:sz="6" w:space="0" w:color="7F7F7F"/>
              <w:left w:val="nil"/>
              <w:bottom w:val="single" w:sz="6" w:space="0" w:color="7F7F7F"/>
              <w:right w:val="nil"/>
            </w:tcBorders>
            <w:hideMark/>
          </w:tcPr>
          <w:p w14:paraId="1CC8D55C" w14:textId="77777777" w:rsidR="000505AA" w:rsidRPr="000505AA" w:rsidRDefault="000505AA" w:rsidP="000505AA">
            <w:pPr>
              <w:widowControl/>
              <w:autoSpaceDE/>
              <w:autoSpaceDN/>
              <w:textAlignment w:val="baseline"/>
              <w:rPr>
                <w:rFonts w:ascii="Times New Roman" w:eastAsia="Times New Roman" w:hAnsi="Times New Roman" w:cs="Times New Roman"/>
                <w:b/>
                <w:bCs/>
                <w:sz w:val="24"/>
                <w:szCs w:val="24"/>
              </w:rPr>
            </w:pPr>
            <w:r w:rsidRPr="000505AA">
              <w:rPr>
                <w:rFonts w:eastAsia="Times New Roman"/>
                <w:b/>
                <w:bCs/>
                <w:sz w:val="20"/>
                <w:szCs w:val="20"/>
              </w:rPr>
              <w:t>Audit </w:t>
            </w:r>
          </w:p>
        </w:tc>
        <w:tc>
          <w:tcPr>
            <w:tcW w:w="1800" w:type="dxa"/>
            <w:tcBorders>
              <w:top w:val="single" w:sz="6" w:space="0" w:color="7F7F7F"/>
              <w:left w:val="nil"/>
              <w:bottom w:val="single" w:sz="6" w:space="0" w:color="7F7F7F"/>
              <w:right w:val="nil"/>
            </w:tcBorders>
            <w:hideMark/>
          </w:tcPr>
          <w:p w14:paraId="5FADFB1E"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§200.501; §200.511 </w:t>
            </w:r>
          </w:p>
        </w:tc>
        <w:tc>
          <w:tcPr>
            <w:tcW w:w="1710" w:type="dxa"/>
            <w:tcBorders>
              <w:top w:val="single" w:sz="6" w:space="0" w:color="7F7F7F"/>
              <w:left w:val="nil"/>
              <w:bottom w:val="single" w:sz="6" w:space="0" w:color="7F7F7F"/>
              <w:right w:val="nil"/>
            </w:tcBorders>
            <w:hideMark/>
          </w:tcPr>
          <w:p w14:paraId="30879FCA"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State Audit Act </w:t>
            </w:r>
          </w:p>
        </w:tc>
        <w:tc>
          <w:tcPr>
            <w:tcW w:w="1545" w:type="dxa"/>
            <w:tcBorders>
              <w:top w:val="single" w:sz="6" w:space="0" w:color="7F7F7F"/>
              <w:left w:val="nil"/>
              <w:bottom w:val="single" w:sz="6" w:space="0" w:color="7F7F7F"/>
              <w:right w:val="nil"/>
            </w:tcBorders>
            <w:hideMark/>
          </w:tcPr>
          <w:p w14:paraId="5E09E5D1"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State Auditor Rules </w:t>
            </w:r>
          </w:p>
        </w:tc>
        <w:tc>
          <w:tcPr>
            <w:tcW w:w="1710" w:type="dxa"/>
            <w:tcBorders>
              <w:top w:val="single" w:sz="6" w:space="0" w:color="7F7F7F"/>
              <w:left w:val="nil"/>
              <w:bottom w:val="single" w:sz="6" w:space="0" w:color="7F7F7F"/>
              <w:right w:val="nil"/>
            </w:tcBorders>
            <w:hideMark/>
          </w:tcPr>
          <w:p w14:paraId="3CC2702C"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Corrective Action Tracking </w:t>
            </w:r>
          </w:p>
        </w:tc>
        <w:tc>
          <w:tcPr>
            <w:tcW w:w="2175" w:type="dxa"/>
            <w:tcBorders>
              <w:top w:val="single" w:sz="6" w:space="0" w:color="7F7F7F"/>
              <w:left w:val="nil"/>
              <w:bottom w:val="single" w:sz="6" w:space="0" w:color="7F7F7F"/>
              <w:right w:val="nil"/>
            </w:tcBorders>
            <w:hideMark/>
          </w:tcPr>
          <w:p w14:paraId="0A561B62"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Single Audit + state annual audit </w:t>
            </w:r>
          </w:p>
        </w:tc>
      </w:tr>
      <w:tr w:rsidR="00C42B16" w:rsidRPr="000505AA" w14:paraId="3E322FB7" w14:textId="77777777">
        <w:trPr>
          <w:trHeight w:val="300"/>
        </w:trPr>
        <w:tc>
          <w:tcPr>
            <w:tcW w:w="2175" w:type="dxa"/>
            <w:tcBorders>
              <w:top w:val="nil"/>
              <w:left w:val="nil"/>
              <w:bottom w:val="nil"/>
              <w:right w:val="nil"/>
            </w:tcBorders>
            <w:hideMark/>
          </w:tcPr>
          <w:p w14:paraId="5A334FF2" w14:textId="77777777" w:rsidR="000505AA" w:rsidRPr="000505AA" w:rsidRDefault="000505AA" w:rsidP="000505AA">
            <w:pPr>
              <w:widowControl/>
              <w:autoSpaceDE/>
              <w:autoSpaceDN/>
              <w:textAlignment w:val="baseline"/>
              <w:rPr>
                <w:rFonts w:ascii="Times New Roman" w:eastAsia="Times New Roman" w:hAnsi="Times New Roman" w:cs="Times New Roman"/>
                <w:b/>
                <w:bCs/>
                <w:sz w:val="24"/>
                <w:szCs w:val="24"/>
              </w:rPr>
            </w:pPr>
            <w:r w:rsidRPr="000505AA">
              <w:rPr>
                <w:rFonts w:eastAsia="Times New Roman"/>
                <w:b/>
                <w:bCs/>
                <w:sz w:val="20"/>
                <w:szCs w:val="20"/>
              </w:rPr>
              <w:t>Closeout </w:t>
            </w:r>
          </w:p>
        </w:tc>
        <w:tc>
          <w:tcPr>
            <w:tcW w:w="1800" w:type="dxa"/>
            <w:tcBorders>
              <w:top w:val="nil"/>
              <w:left w:val="nil"/>
              <w:bottom w:val="nil"/>
              <w:right w:val="nil"/>
            </w:tcBorders>
            <w:hideMark/>
          </w:tcPr>
          <w:p w14:paraId="7D8ECB48"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§200.344 </w:t>
            </w:r>
          </w:p>
        </w:tc>
        <w:tc>
          <w:tcPr>
            <w:tcW w:w="1710" w:type="dxa"/>
            <w:tcBorders>
              <w:top w:val="nil"/>
              <w:left w:val="nil"/>
              <w:bottom w:val="nil"/>
              <w:right w:val="nil"/>
            </w:tcBorders>
            <w:hideMark/>
          </w:tcPr>
          <w:p w14:paraId="6A197739"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Appropriation reversion statutes </w:t>
            </w:r>
          </w:p>
        </w:tc>
        <w:tc>
          <w:tcPr>
            <w:tcW w:w="1545" w:type="dxa"/>
            <w:tcBorders>
              <w:top w:val="nil"/>
              <w:left w:val="nil"/>
              <w:bottom w:val="nil"/>
              <w:right w:val="nil"/>
            </w:tcBorders>
            <w:hideMark/>
          </w:tcPr>
          <w:p w14:paraId="6DFFBF77"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DFA reconciliation rules </w:t>
            </w:r>
          </w:p>
        </w:tc>
        <w:tc>
          <w:tcPr>
            <w:tcW w:w="1710" w:type="dxa"/>
            <w:tcBorders>
              <w:top w:val="nil"/>
              <w:left w:val="nil"/>
              <w:bottom w:val="nil"/>
              <w:right w:val="nil"/>
            </w:tcBorders>
            <w:hideMark/>
          </w:tcPr>
          <w:p w14:paraId="07611871"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Final Risk Validation </w:t>
            </w:r>
          </w:p>
        </w:tc>
        <w:tc>
          <w:tcPr>
            <w:tcW w:w="2175" w:type="dxa"/>
            <w:tcBorders>
              <w:top w:val="nil"/>
              <w:left w:val="nil"/>
              <w:bottom w:val="nil"/>
              <w:right w:val="nil"/>
            </w:tcBorders>
            <w:hideMark/>
          </w:tcPr>
          <w:p w14:paraId="32F36338"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SHARE reconciliation &amp; de-obligation </w:t>
            </w:r>
          </w:p>
        </w:tc>
      </w:tr>
      <w:tr w:rsidR="00C42B16" w:rsidRPr="000505AA" w14:paraId="297FBBE0" w14:textId="77777777">
        <w:trPr>
          <w:trHeight w:val="300"/>
        </w:trPr>
        <w:tc>
          <w:tcPr>
            <w:tcW w:w="2175" w:type="dxa"/>
            <w:tcBorders>
              <w:top w:val="single" w:sz="6" w:space="0" w:color="7F7F7F"/>
              <w:left w:val="nil"/>
              <w:bottom w:val="single" w:sz="6" w:space="0" w:color="7F7F7F"/>
              <w:right w:val="nil"/>
            </w:tcBorders>
            <w:hideMark/>
          </w:tcPr>
          <w:p w14:paraId="265D4730" w14:textId="77777777" w:rsidR="000505AA" w:rsidRPr="000505AA" w:rsidRDefault="000505AA" w:rsidP="000505AA">
            <w:pPr>
              <w:widowControl/>
              <w:autoSpaceDE/>
              <w:autoSpaceDN/>
              <w:textAlignment w:val="baseline"/>
              <w:rPr>
                <w:rFonts w:ascii="Times New Roman" w:eastAsia="Times New Roman" w:hAnsi="Times New Roman" w:cs="Times New Roman"/>
                <w:b/>
                <w:bCs/>
                <w:sz w:val="24"/>
                <w:szCs w:val="24"/>
              </w:rPr>
            </w:pPr>
            <w:r w:rsidRPr="000505AA">
              <w:rPr>
                <w:rFonts w:eastAsia="Times New Roman"/>
                <w:b/>
                <w:bCs/>
                <w:sz w:val="20"/>
                <w:szCs w:val="20"/>
              </w:rPr>
              <w:t>Records Retention </w:t>
            </w:r>
          </w:p>
        </w:tc>
        <w:tc>
          <w:tcPr>
            <w:tcW w:w="1800" w:type="dxa"/>
            <w:tcBorders>
              <w:top w:val="single" w:sz="6" w:space="0" w:color="7F7F7F"/>
              <w:left w:val="nil"/>
              <w:bottom w:val="single" w:sz="6" w:space="0" w:color="7F7F7F"/>
              <w:right w:val="nil"/>
            </w:tcBorders>
            <w:hideMark/>
          </w:tcPr>
          <w:p w14:paraId="6380CFC2"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§200.334 </w:t>
            </w:r>
          </w:p>
        </w:tc>
        <w:tc>
          <w:tcPr>
            <w:tcW w:w="1710" w:type="dxa"/>
            <w:tcBorders>
              <w:top w:val="single" w:sz="6" w:space="0" w:color="7F7F7F"/>
              <w:left w:val="nil"/>
              <w:bottom w:val="single" w:sz="6" w:space="0" w:color="7F7F7F"/>
              <w:right w:val="nil"/>
            </w:tcBorders>
            <w:hideMark/>
          </w:tcPr>
          <w:p w14:paraId="5FAF1EB7"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Public Records Act </w:t>
            </w:r>
          </w:p>
        </w:tc>
        <w:tc>
          <w:tcPr>
            <w:tcW w:w="1545" w:type="dxa"/>
            <w:tcBorders>
              <w:top w:val="single" w:sz="6" w:space="0" w:color="7F7F7F"/>
              <w:left w:val="nil"/>
              <w:bottom w:val="single" w:sz="6" w:space="0" w:color="7F7F7F"/>
              <w:right w:val="nil"/>
            </w:tcBorders>
            <w:hideMark/>
          </w:tcPr>
          <w:p w14:paraId="5C3A3921"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State retention schedules </w:t>
            </w:r>
          </w:p>
        </w:tc>
        <w:tc>
          <w:tcPr>
            <w:tcW w:w="1710" w:type="dxa"/>
            <w:tcBorders>
              <w:top w:val="single" w:sz="6" w:space="0" w:color="7F7F7F"/>
              <w:left w:val="nil"/>
              <w:bottom w:val="single" w:sz="6" w:space="0" w:color="7F7F7F"/>
              <w:right w:val="nil"/>
            </w:tcBorders>
            <w:hideMark/>
          </w:tcPr>
          <w:p w14:paraId="40AEA159"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Documentation Control </w:t>
            </w:r>
          </w:p>
        </w:tc>
        <w:tc>
          <w:tcPr>
            <w:tcW w:w="2175" w:type="dxa"/>
            <w:tcBorders>
              <w:top w:val="single" w:sz="6" w:space="0" w:color="7F7F7F"/>
              <w:left w:val="nil"/>
              <w:bottom w:val="single" w:sz="6" w:space="0" w:color="7F7F7F"/>
              <w:right w:val="nil"/>
            </w:tcBorders>
            <w:hideMark/>
          </w:tcPr>
          <w:p w14:paraId="06709E90" w14:textId="77777777" w:rsidR="000505AA" w:rsidRPr="000505AA" w:rsidRDefault="000505AA" w:rsidP="000505AA">
            <w:pPr>
              <w:widowControl/>
              <w:autoSpaceDE/>
              <w:autoSpaceDN/>
              <w:textAlignment w:val="baseline"/>
              <w:rPr>
                <w:rFonts w:ascii="Times New Roman" w:eastAsia="Times New Roman" w:hAnsi="Times New Roman" w:cs="Times New Roman"/>
                <w:sz w:val="24"/>
                <w:szCs w:val="24"/>
              </w:rPr>
            </w:pPr>
            <w:r w:rsidRPr="000505AA">
              <w:rPr>
                <w:rFonts w:eastAsia="Times New Roman"/>
                <w:sz w:val="20"/>
                <w:szCs w:val="20"/>
              </w:rPr>
              <w:t>Retain through audit resolution </w:t>
            </w:r>
          </w:p>
        </w:tc>
      </w:tr>
    </w:tbl>
    <w:p w14:paraId="245757BE"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t> </w:t>
      </w:r>
    </w:p>
    <w:p w14:paraId="45CDE5EC"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t> </w:t>
      </w:r>
    </w:p>
    <w:p w14:paraId="06FA56AB"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b/>
          <w:bCs/>
          <w:i/>
          <w:iCs/>
          <w:color w:val="404040"/>
        </w:rPr>
        <w:t>EXECUTIVE KEY MESSAGE</w:t>
      </w:r>
      <w:r w:rsidRPr="000505AA">
        <w:rPr>
          <w:rFonts w:eastAsia="Times New Roman"/>
          <w:color w:val="404040"/>
        </w:rPr>
        <w:t> </w:t>
      </w:r>
    </w:p>
    <w:p w14:paraId="4CDB9FFC"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t>New Mexico grant administration operates under </w:t>
      </w:r>
      <w:r w:rsidRPr="000505AA">
        <w:rPr>
          <w:rFonts w:eastAsia="Times New Roman"/>
          <w:b/>
          <w:bCs/>
          <w:i/>
          <w:iCs/>
          <w:u w:val="single"/>
        </w:rPr>
        <w:t>concurrent authority</w:t>
      </w:r>
      <w:r w:rsidRPr="000505AA">
        <w:rPr>
          <w:rFonts w:eastAsia="Times New Roman"/>
        </w:rPr>
        <w:t>: </w:t>
      </w:r>
    </w:p>
    <w:p w14:paraId="2095536D" w14:textId="77777777" w:rsidR="000505AA" w:rsidRPr="000505AA" w:rsidRDefault="000505AA" w:rsidP="00894EC0">
      <w:pPr>
        <w:widowControl/>
        <w:numPr>
          <w:ilvl w:val="0"/>
          <w:numId w:val="9"/>
        </w:numPr>
        <w:autoSpaceDE/>
        <w:autoSpaceDN/>
        <w:ind w:left="1080" w:firstLine="0"/>
        <w:textAlignment w:val="baseline"/>
        <w:rPr>
          <w:rFonts w:eastAsia="Times New Roman"/>
        </w:rPr>
      </w:pPr>
      <w:r w:rsidRPr="000505AA">
        <w:rPr>
          <w:rFonts w:eastAsia="Times New Roman"/>
        </w:rPr>
        <w:t>Federal administrative requirements (Uniform Guidance) </w:t>
      </w:r>
    </w:p>
    <w:p w14:paraId="1BAE3E03" w14:textId="77777777" w:rsidR="000505AA" w:rsidRPr="000505AA" w:rsidRDefault="000505AA" w:rsidP="00894EC0">
      <w:pPr>
        <w:widowControl/>
        <w:numPr>
          <w:ilvl w:val="0"/>
          <w:numId w:val="10"/>
        </w:numPr>
        <w:autoSpaceDE/>
        <w:autoSpaceDN/>
        <w:ind w:left="1080" w:firstLine="0"/>
        <w:textAlignment w:val="baseline"/>
        <w:rPr>
          <w:rFonts w:eastAsia="Times New Roman"/>
        </w:rPr>
      </w:pPr>
      <w:r w:rsidRPr="000505AA">
        <w:rPr>
          <w:rFonts w:eastAsia="Times New Roman"/>
        </w:rPr>
        <w:t>State statutory procurement and fiscal law </w:t>
      </w:r>
    </w:p>
    <w:p w14:paraId="068DC286" w14:textId="77777777" w:rsidR="000505AA" w:rsidRPr="000505AA" w:rsidRDefault="000505AA" w:rsidP="00894EC0">
      <w:pPr>
        <w:widowControl/>
        <w:numPr>
          <w:ilvl w:val="0"/>
          <w:numId w:val="11"/>
        </w:numPr>
        <w:autoSpaceDE/>
        <w:autoSpaceDN/>
        <w:ind w:left="1080" w:firstLine="0"/>
        <w:textAlignment w:val="baseline"/>
        <w:rPr>
          <w:rFonts w:eastAsia="Times New Roman"/>
        </w:rPr>
      </w:pPr>
      <w:r w:rsidRPr="000505AA">
        <w:rPr>
          <w:rFonts w:eastAsia="Times New Roman"/>
        </w:rPr>
        <w:t>Administrative rules (NMAC and DFA policy) </w:t>
      </w:r>
    </w:p>
    <w:p w14:paraId="076C4275" w14:textId="77777777" w:rsidR="000505AA" w:rsidRPr="000505AA" w:rsidRDefault="000505AA" w:rsidP="00894EC0">
      <w:pPr>
        <w:widowControl/>
        <w:numPr>
          <w:ilvl w:val="0"/>
          <w:numId w:val="12"/>
        </w:numPr>
        <w:autoSpaceDE/>
        <w:autoSpaceDN/>
        <w:ind w:left="1080" w:firstLine="0"/>
        <w:textAlignment w:val="baseline"/>
        <w:rPr>
          <w:rFonts w:eastAsia="Times New Roman"/>
        </w:rPr>
      </w:pPr>
      <w:r w:rsidRPr="000505AA">
        <w:rPr>
          <w:rFonts w:eastAsia="Times New Roman"/>
        </w:rPr>
        <w:t>Enterprise risk management expectations (NM MAPS) </w:t>
      </w:r>
    </w:p>
    <w:p w14:paraId="5F3E49AF" w14:textId="77777777" w:rsidR="000505AA" w:rsidRPr="000505AA" w:rsidRDefault="000505AA" w:rsidP="00894EC0">
      <w:pPr>
        <w:widowControl/>
        <w:numPr>
          <w:ilvl w:val="0"/>
          <w:numId w:val="13"/>
        </w:numPr>
        <w:autoSpaceDE/>
        <w:autoSpaceDN/>
        <w:ind w:left="1080" w:firstLine="0"/>
        <w:textAlignment w:val="baseline"/>
        <w:rPr>
          <w:rFonts w:eastAsia="Times New Roman"/>
        </w:rPr>
      </w:pPr>
      <w:r w:rsidRPr="000505AA">
        <w:rPr>
          <w:rFonts w:eastAsia="Times New Roman"/>
        </w:rPr>
        <w:t>When federal funds are involved, </w:t>
      </w:r>
      <w:r w:rsidRPr="000505AA">
        <w:rPr>
          <w:rFonts w:eastAsia="Times New Roman"/>
          <w:i/>
          <w:iCs/>
          <w:u w:val="single"/>
        </w:rPr>
        <w:t>both federal and state requirements apply simultaneously</w:t>
      </w:r>
      <w:r w:rsidRPr="000505AA">
        <w:rPr>
          <w:rFonts w:eastAsia="Times New Roman"/>
        </w:rPr>
        <w:t>, unless federal preemption explicitly overrides state law. </w:t>
      </w:r>
    </w:p>
    <w:p w14:paraId="739DADD7" w14:textId="77777777" w:rsidR="000505AA" w:rsidRPr="000505AA" w:rsidRDefault="000505AA" w:rsidP="000505AA">
      <w:pPr>
        <w:widowControl/>
        <w:autoSpaceDE/>
        <w:autoSpaceDN/>
        <w:ind w:left="720"/>
        <w:textAlignment w:val="baseline"/>
        <w:rPr>
          <w:rFonts w:ascii="Segoe UI" w:eastAsia="Times New Roman" w:hAnsi="Segoe UI" w:cs="Segoe UI"/>
          <w:sz w:val="18"/>
          <w:szCs w:val="18"/>
        </w:rPr>
      </w:pPr>
      <w:r w:rsidRPr="000505AA">
        <w:rPr>
          <w:rFonts w:eastAsia="Times New Roman"/>
        </w:rPr>
        <w:t> </w:t>
      </w:r>
    </w:p>
    <w:p w14:paraId="5707FCF7" w14:textId="1BF5FDDA"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lastRenderedPageBreak/>
        <w:t> </w:t>
      </w:r>
      <w:r w:rsidRPr="000505AA">
        <w:rPr>
          <w:rFonts w:ascii="Cambria" w:eastAsia="Times New Roman" w:hAnsi="Cambria" w:cs="Segoe UI"/>
          <w:b/>
          <w:bCs/>
          <w:color w:val="404040"/>
          <w:sz w:val="28"/>
          <w:szCs w:val="28"/>
        </w:rPr>
        <w:t>PART II</w:t>
      </w:r>
      <w:r w:rsidRPr="000505AA">
        <w:rPr>
          <w:rFonts w:ascii="Cambria" w:eastAsia="Times New Roman" w:hAnsi="Cambria" w:cs="Segoe UI"/>
          <w:color w:val="404040"/>
          <w:sz w:val="28"/>
          <w:szCs w:val="28"/>
        </w:rPr>
        <w:t> </w:t>
      </w:r>
    </w:p>
    <w:p w14:paraId="68807C73"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ascii="Cambria" w:eastAsia="Times New Roman" w:hAnsi="Cambria" w:cs="Segoe UI"/>
          <w:b/>
          <w:bCs/>
          <w:color w:val="404040"/>
          <w:sz w:val="28"/>
          <w:szCs w:val="28"/>
        </w:rPr>
        <w:t>DETAILED CITATION-LEVEL CROSSWALK</w:t>
      </w:r>
      <w:r w:rsidRPr="000505AA">
        <w:rPr>
          <w:rFonts w:ascii="Cambria" w:eastAsia="Times New Roman" w:hAnsi="Cambria" w:cs="Segoe UI"/>
          <w:color w:val="404040"/>
          <w:sz w:val="28"/>
          <w:szCs w:val="28"/>
        </w:rPr>
        <w:t> </w:t>
      </w:r>
    </w:p>
    <w:p w14:paraId="2433371F"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t> </w:t>
      </w:r>
    </w:p>
    <w:p w14:paraId="5BD676F4"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b/>
          <w:bCs/>
          <w:i/>
          <w:iCs/>
          <w:color w:val="404040"/>
        </w:rPr>
        <w:t>I. INTERNAL CONTROLS &amp; GOVERNANCE</w:t>
      </w:r>
      <w:r w:rsidRPr="000505AA">
        <w:rPr>
          <w:rFonts w:eastAsia="Times New Roman"/>
          <w:color w:val="404040"/>
        </w:rPr>
        <w:t> </w:t>
      </w:r>
    </w:p>
    <w:p w14:paraId="4D9E4E8C"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color w:val="404040"/>
        </w:rPr>
        <w:t> </w:t>
      </w:r>
    </w:p>
    <w:p w14:paraId="4D383DE1"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Federal Authorities</w:t>
      </w:r>
      <w:r w:rsidRPr="000505AA">
        <w:rPr>
          <w:rFonts w:eastAsia="Times New Roman"/>
        </w:rPr>
        <w:t> </w:t>
      </w:r>
    </w:p>
    <w:p w14:paraId="01AAC599" w14:textId="77777777" w:rsidR="000505AA" w:rsidRPr="000505AA" w:rsidRDefault="000505AA" w:rsidP="00894EC0">
      <w:pPr>
        <w:widowControl/>
        <w:numPr>
          <w:ilvl w:val="0"/>
          <w:numId w:val="14"/>
        </w:numPr>
        <w:autoSpaceDE/>
        <w:autoSpaceDN/>
        <w:ind w:left="1080" w:firstLine="0"/>
        <w:textAlignment w:val="baseline"/>
        <w:rPr>
          <w:rFonts w:eastAsia="Times New Roman"/>
        </w:rPr>
      </w:pPr>
      <w:r w:rsidRPr="000505AA">
        <w:rPr>
          <w:rFonts w:eastAsia="Times New Roman"/>
        </w:rPr>
        <w:t>2 CFR §200.300 – Statutory and national policy requirements </w:t>
      </w:r>
    </w:p>
    <w:p w14:paraId="0F6B1E6E" w14:textId="77777777" w:rsidR="000505AA" w:rsidRPr="000505AA" w:rsidRDefault="000505AA" w:rsidP="00894EC0">
      <w:pPr>
        <w:widowControl/>
        <w:numPr>
          <w:ilvl w:val="0"/>
          <w:numId w:val="15"/>
        </w:numPr>
        <w:autoSpaceDE/>
        <w:autoSpaceDN/>
        <w:ind w:left="1080" w:firstLine="0"/>
        <w:textAlignment w:val="baseline"/>
        <w:rPr>
          <w:rFonts w:eastAsia="Times New Roman"/>
        </w:rPr>
      </w:pPr>
      <w:r w:rsidRPr="000505AA">
        <w:rPr>
          <w:rFonts w:eastAsia="Times New Roman"/>
        </w:rPr>
        <w:t>2 CFR §200.303 – Internal controls </w:t>
      </w:r>
    </w:p>
    <w:p w14:paraId="1B7B1D02" w14:textId="77777777" w:rsidR="000505AA" w:rsidRPr="000505AA" w:rsidRDefault="000505AA" w:rsidP="00894EC0">
      <w:pPr>
        <w:widowControl/>
        <w:numPr>
          <w:ilvl w:val="0"/>
          <w:numId w:val="16"/>
        </w:numPr>
        <w:autoSpaceDE/>
        <w:autoSpaceDN/>
        <w:ind w:left="1080" w:firstLine="0"/>
        <w:textAlignment w:val="baseline"/>
        <w:rPr>
          <w:rFonts w:eastAsia="Times New Roman"/>
        </w:rPr>
      </w:pPr>
      <w:r w:rsidRPr="000505AA">
        <w:rPr>
          <w:rFonts w:eastAsia="Times New Roman"/>
        </w:rPr>
        <w:t>2 CFR §200.308 – Revisions of budget and program plans </w:t>
      </w:r>
    </w:p>
    <w:p w14:paraId="5D14A54D"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New Mexico Authorities</w:t>
      </w:r>
      <w:r w:rsidRPr="000505AA">
        <w:rPr>
          <w:rFonts w:eastAsia="Times New Roman"/>
        </w:rPr>
        <w:t> </w:t>
      </w:r>
    </w:p>
    <w:p w14:paraId="7C165110" w14:textId="77777777" w:rsidR="000505AA" w:rsidRPr="000505AA" w:rsidRDefault="000505AA" w:rsidP="00894EC0">
      <w:pPr>
        <w:widowControl/>
        <w:numPr>
          <w:ilvl w:val="0"/>
          <w:numId w:val="17"/>
        </w:numPr>
        <w:autoSpaceDE/>
        <w:autoSpaceDN/>
        <w:ind w:left="1080" w:firstLine="0"/>
        <w:textAlignment w:val="baseline"/>
        <w:rPr>
          <w:rFonts w:eastAsia="Times New Roman"/>
        </w:rPr>
      </w:pPr>
      <w:r w:rsidRPr="000505AA">
        <w:rPr>
          <w:rFonts w:eastAsia="Times New Roman"/>
        </w:rPr>
        <w:t>State Audit Act, NMSA 1978, §§12-6-1 to 12-6-14 </w:t>
      </w:r>
    </w:p>
    <w:p w14:paraId="7F30C7B2" w14:textId="77777777" w:rsidR="000505AA" w:rsidRPr="000505AA" w:rsidRDefault="000505AA" w:rsidP="00894EC0">
      <w:pPr>
        <w:widowControl/>
        <w:numPr>
          <w:ilvl w:val="0"/>
          <w:numId w:val="18"/>
        </w:numPr>
        <w:autoSpaceDE/>
        <w:autoSpaceDN/>
        <w:ind w:left="1080" w:firstLine="0"/>
        <w:textAlignment w:val="baseline"/>
        <w:rPr>
          <w:rFonts w:eastAsia="Times New Roman"/>
        </w:rPr>
      </w:pPr>
      <w:r w:rsidRPr="000505AA">
        <w:rPr>
          <w:rFonts w:eastAsia="Times New Roman"/>
        </w:rPr>
        <w:t>General Appropriations Act (annual) </w:t>
      </w:r>
    </w:p>
    <w:p w14:paraId="0D6A05A8" w14:textId="77777777" w:rsidR="000505AA" w:rsidRPr="000505AA" w:rsidRDefault="000505AA" w:rsidP="00894EC0">
      <w:pPr>
        <w:widowControl/>
        <w:numPr>
          <w:ilvl w:val="0"/>
          <w:numId w:val="19"/>
        </w:numPr>
        <w:autoSpaceDE/>
        <w:autoSpaceDN/>
        <w:ind w:left="1080" w:firstLine="0"/>
        <w:textAlignment w:val="baseline"/>
        <w:rPr>
          <w:rFonts w:eastAsia="Times New Roman"/>
        </w:rPr>
      </w:pPr>
      <w:r w:rsidRPr="000505AA">
        <w:rPr>
          <w:rFonts w:eastAsia="Times New Roman"/>
        </w:rPr>
        <w:t>Governmental Conduct Act, §§10-16-1 to 10-16-18 NMSA </w:t>
      </w:r>
    </w:p>
    <w:p w14:paraId="3767B99A" w14:textId="77777777" w:rsidR="000505AA" w:rsidRPr="000505AA" w:rsidRDefault="000505AA" w:rsidP="00894EC0">
      <w:pPr>
        <w:widowControl/>
        <w:numPr>
          <w:ilvl w:val="0"/>
          <w:numId w:val="20"/>
        </w:numPr>
        <w:autoSpaceDE/>
        <w:autoSpaceDN/>
        <w:ind w:left="1080" w:firstLine="0"/>
        <w:textAlignment w:val="baseline"/>
        <w:rPr>
          <w:rFonts w:eastAsia="Times New Roman"/>
        </w:rPr>
      </w:pPr>
      <w:r w:rsidRPr="000505AA">
        <w:rPr>
          <w:rFonts w:eastAsia="Times New Roman"/>
        </w:rPr>
        <w:t>2.2.2 NMAC – Accounting and Control of Finances </w:t>
      </w:r>
    </w:p>
    <w:p w14:paraId="21480BEF"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NM MAPS Requirements</w:t>
      </w:r>
      <w:r w:rsidRPr="000505AA">
        <w:rPr>
          <w:rFonts w:eastAsia="Times New Roman"/>
        </w:rPr>
        <w:t> </w:t>
      </w:r>
    </w:p>
    <w:p w14:paraId="63FE9222" w14:textId="77777777" w:rsidR="000505AA" w:rsidRPr="000505AA" w:rsidRDefault="000505AA" w:rsidP="00894EC0">
      <w:pPr>
        <w:widowControl/>
        <w:numPr>
          <w:ilvl w:val="0"/>
          <w:numId w:val="21"/>
        </w:numPr>
        <w:autoSpaceDE/>
        <w:autoSpaceDN/>
        <w:ind w:left="1080" w:firstLine="0"/>
        <w:textAlignment w:val="baseline"/>
        <w:rPr>
          <w:rFonts w:eastAsia="Times New Roman"/>
        </w:rPr>
      </w:pPr>
      <w:r w:rsidRPr="000505AA">
        <w:rPr>
          <w:rFonts w:eastAsia="Times New Roman"/>
        </w:rPr>
        <w:t>COSO-aligned internal control framework </w:t>
      </w:r>
    </w:p>
    <w:p w14:paraId="3839190A" w14:textId="77777777" w:rsidR="000505AA" w:rsidRPr="000505AA" w:rsidRDefault="000505AA" w:rsidP="00894EC0">
      <w:pPr>
        <w:widowControl/>
        <w:numPr>
          <w:ilvl w:val="0"/>
          <w:numId w:val="22"/>
        </w:numPr>
        <w:autoSpaceDE/>
        <w:autoSpaceDN/>
        <w:ind w:left="1080" w:firstLine="0"/>
        <w:textAlignment w:val="baseline"/>
        <w:rPr>
          <w:rFonts w:eastAsia="Times New Roman"/>
        </w:rPr>
      </w:pPr>
      <w:r w:rsidRPr="000505AA">
        <w:rPr>
          <w:rFonts w:eastAsia="Times New Roman"/>
        </w:rPr>
        <w:t>Annual Enterprise Risk Assessment </w:t>
      </w:r>
    </w:p>
    <w:p w14:paraId="018263B0" w14:textId="77777777" w:rsidR="000505AA" w:rsidRPr="000505AA" w:rsidRDefault="000505AA" w:rsidP="00894EC0">
      <w:pPr>
        <w:widowControl/>
        <w:numPr>
          <w:ilvl w:val="0"/>
          <w:numId w:val="23"/>
        </w:numPr>
        <w:autoSpaceDE/>
        <w:autoSpaceDN/>
        <w:ind w:left="1080" w:firstLine="0"/>
        <w:textAlignment w:val="baseline"/>
        <w:rPr>
          <w:rFonts w:eastAsia="Times New Roman"/>
        </w:rPr>
      </w:pPr>
      <w:r w:rsidRPr="000505AA">
        <w:rPr>
          <w:rFonts w:eastAsia="Times New Roman"/>
        </w:rPr>
        <w:t>Corrective Action Plan tracking </w:t>
      </w:r>
    </w:p>
    <w:p w14:paraId="0236FC42" w14:textId="77777777" w:rsidR="000505AA" w:rsidRPr="000505AA" w:rsidRDefault="000505AA" w:rsidP="00894EC0">
      <w:pPr>
        <w:widowControl/>
        <w:numPr>
          <w:ilvl w:val="0"/>
          <w:numId w:val="24"/>
        </w:numPr>
        <w:autoSpaceDE/>
        <w:autoSpaceDN/>
        <w:ind w:left="1080" w:firstLine="0"/>
        <w:textAlignment w:val="baseline"/>
        <w:rPr>
          <w:rFonts w:eastAsia="Times New Roman"/>
        </w:rPr>
      </w:pPr>
      <w:r w:rsidRPr="000505AA">
        <w:rPr>
          <w:rFonts w:eastAsia="Times New Roman"/>
        </w:rPr>
        <w:t>Documented management review </w:t>
      </w:r>
    </w:p>
    <w:p w14:paraId="12780EA0"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t> </w:t>
      </w:r>
    </w:p>
    <w:p w14:paraId="22D5DA44"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b/>
          <w:bCs/>
          <w:i/>
          <w:iCs/>
          <w:color w:val="404040"/>
        </w:rPr>
        <w:t>II. PRE-AWARD &amp; PROGRAM DESIGN</w:t>
      </w:r>
      <w:r w:rsidRPr="000505AA">
        <w:rPr>
          <w:rFonts w:eastAsia="Times New Roman"/>
          <w:color w:val="404040"/>
        </w:rPr>
        <w:t> </w:t>
      </w:r>
    </w:p>
    <w:p w14:paraId="01232E7F"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color w:val="404040"/>
        </w:rPr>
        <w:t> </w:t>
      </w:r>
    </w:p>
    <w:p w14:paraId="3DBB7A6B"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Federal Authorities</w:t>
      </w:r>
      <w:r w:rsidRPr="000505AA">
        <w:rPr>
          <w:rFonts w:eastAsia="Times New Roman"/>
        </w:rPr>
        <w:t> </w:t>
      </w:r>
    </w:p>
    <w:p w14:paraId="5C542683" w14:textId="77777777" w:rsidR="000505AA" w:rsidRPr="000505AA" w:rsidRDefault="000505AA" w:rsidP="00894EC0">
      <w:pPr>
        <w:widowControl/>
        <w:numPr>
          <w:ilvl w:val="0"/>
          <w:numId w:val="25"/>
        </w:numPr>
        <w:autoSpaceDE/>
        <w:autoSpaceDN/>
        <w:ind w:left="1080" w:firstLine="0"/>
        <w:textAlignment w:val="baseline"/>
        <w:rPr>
          <w:rFonts w:eastAsia="Times New Roman"/>
        </w:rPr>
      </w:pPr>
      <w:r w:rsidRPr="000505AA">
        <w:rPr>
          <w:rFonts w:eastAsia="Times New Roman"/>
        </w:rPr>
        <w:t>2 CFR §200.202 – Program planning and design </w:t>
      </w:r>
    </w:p>
    <w:p w14:paraId="23564FCD" w14:textId="77777777" w:rsidR="000505AA" w:rsidRPr="000505AA" w:rsidRDefault="000505AA" w:rsidP="00894EC0">
      <w:pPr>
        <w:widowControl/>
        <w:numPr>
          <w:ilvl w:val="0"/>
          <w:numId w:val="26"/>
        </w:numPr>
        <w:autoSpaceDE/>
        <w:autoSpaceDN/>
        <w:ind w:left="1080" w:firstLine="0"/>
        <w:textAlignment w:val="baseline"/>
        <w:rPr>
          <w:rFonts w:eastAsia="Times New Roman"/>
        </w:rPr>
      </w:pPr>
      <w:r w:rsidRPr="000505AA">
        <w:rPr>
          <w:rFonts w:eastAsia="Times New Roman"/>
        </w:rPr>
        <w:t>2 CFR §200.203 – Notices of funding opportunities </w:t>
      </w:r>
    </w:p>
    <w:p w14:paraId="414027A4" w14:textId="77777777" w:rsidR="000505AA" w:rsidRPr="000505AA" w:rsidRDefault="000505AA" w:rsidP="00894EC0">
      <w:pPr>
        <w:widowControl/>
        <w:numPr>
          <w:ilvl w:val="0"/>
          <w:numId w:val="27"/>
        </w:numPr>
        <w:autoSpaceDE/>
        <w:autoSpaceDN/>
        <w:ind w:left="1080" w:firstLine="0"/>
        <w:textAlignment w:val="baseline"/>
        <w:rPr>
          <w:rFonts w:eastAsia="Times New Roman"/>
        </w:rPr>
      </w:pPr>
      <w:r w:rsidRPr="000505AA">
        <w:rPr>
          <w:rFonts w:eastAsia="Times New Roman"/>
        </w:rPr>
        <w:t>2 CFR §200.204 – NOFO content requirements </w:t>
      </w:r>
    </w:p>
    <w:p w14:paraId="553D92F2" w14:textId="77777777" w:rsidR="000505AA" w:rsidRPr="000505AA" w:rsidRDefault="000505AA" w:rsidP="00894EC0">
      <w:pPr>
        <w:widowControl/>
        <w:numPr>
          <w:ilvl w:val="0"/>
          <w:numId w:val="28"/>
        </w:numPr>
        <w:autoSpaceDE/>
        <w:autoSpaceDN/>
        <w:ind w:left="1080" w:firstLine="0"/>
        <w:textAlignment w:val="baseline"/>
        <w:rPr>
          <w:rFonts w:eastAsia="Times New Roman"/>
        </w:rPr>
      </w:pPr>
      <w:r w:rsidRPr="000505AA">
        <w:rPr>
          <w:rFonts w:eastAsia="Times New Roman"/>
        </w:rPr>
        <w:t>2 CFR §200.206 – Federal awarding agency review of risk </w:t>
      </w:r>
    </w:p>
    <w:p w14:paraId="363B3BFC"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New Mexico Authorities</w:t>
      </w:r>
      <w:r w:rsidRPr="000505AA">
        <w:rPr>
          <w:rFonts w:eastAsia="Times New Roman"/>
        </w:rPr>
        <w:t> </w:t>
      </w:r>
    </w:p>
    <w:p w14:paraId="197905DF" w14:textId="77777777" w:rsidR="000505AA" w:rsidRPr="000505AA" w:rsidRDefault="000505AA" w:rsidP="00894EC0">
      <w:pPr>
        <w:widowControl/>
        <w:numPr>
          <w:ilvl w:val="0"/>
          <w:numId w:val="29"/>
        </w:numPr>
        <w:autoSpaceDE/>
        <w:autoSpaceDN/>
        <w:ind w:left="1080" w:firstLine="0"/>
        <w:textAlignment w:val="baseline"/>
        <w:rPr>
          <w:rFonts w:eastAsia="Times New Roman"/>
        </w:rPr>
      </w:pPr>
      <w:r w:rsidRPr="000505AA">
        <w:rPr>
          <w:rFonts w:eastAsia="Times New Roman"/>
        </w:rPr>
        <w:t>Enabling statutes specific to agency authority </w:t>
      </w:r>
    </w:p>
    <w:p w14:paraId="52E2EEE3" w14:textId="77777777" w:rsidR="000505AA" w:rsidRPr="000505AA" w:rsidRDefault="000505AA" w:rsidP="00894EC0">
      <w:pPr>
        <w:widowControl/>
        <w:numPr>
          <w:ilvl w:val="0"/>
          <w:numId w:val="30"/>
        </w:numPr>
        <w:autoSpaceDE/>
        <w:autoSpaceDN/>
        <w:ind w:left="1080" w:firstLine="0"/>
        <w:textAlignment w:val="baseline"/>
        <w:rPr>
          <w:rFonts w:eastAsia="Times New Roman"/>
        </w:rPr>
      </w:pPr>
      <w:r w:rsidRPr="000505AA">
        <w:rPr>
          <w:rFonts w:eastAsia="Times New Roman"/>
        </w:rPr>
        <w:t>General Appropriations Act </w:t>
      </w:r>
    </w:p>
    <w:p w14:paraId="66F3611D" w14:textId="77777777" w:rsidR="000505AA" w:rsidRPr="000505AA" w:rsidRDefault="000505AA" w:rsidP="00894EC0">
      <w:pPr>
        <w:widowControl/>
        <w:numPr>
          <w:ilvl w:val="0"/>
          <w:numId w:val="31"/>
        </w:numPr>
        <w:autoSpaceDE/>
        <w:autoSpaceDN/>
        <w:ind w:left="1080" w:firstLine="0"/>
        <w:textAlignment w:val="baseline"/>
        <w:rPr>
          <w:rFonts w:eastAsia="Times New Roman"/>
        </w:rPr>
      </w:pPr>
      <w:r w:rsidRPr="000505AA">
        <w:rPr>
          <w:rFonts w:eastAsia="Times New Roman"/>
        </w:rPr>
        <w:t>DFA budget authority requirements </w:t>
      </w:r>
    </w:p>
    <w:p w14:paraId="21E18FE5"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Administrative Rules</w:t>
      </w:r>
      <w:r w:rsidRPr="000505AA">
        <w:rPr>
          <w:rFonts w:eastAsia="Times New Roman"/>
        </w:rPr>
        <w:t> </w:t>
      </w:r>
    </w:p>
    <w:p w14:paraId="655A0F6B" w14:textId="77777777" w:rsidR="000505AA" w:rsidRPr="000505AA" w:rsidRDefault="000505AA" w:rsidP="00894EC0">
      <w:pPr>
        <w:widowControl/>
        <w:numPr>
          <w:ilvl w:val="0"/>
          <w:numId w:val="32"/>
        </w:numPr>
        <w:autoSpaceDE/>
        <w:autoSpaceDN/>
        <w:ind w:left="1080" w:firstLine="0"/>
        <w:textAlignment w:val="baseline"/>
        <w:rPr>
          <w:rFonts w:eastAsia="Times New Roman"/>
        </w:rPr>
      </w:pPr>
      <w:r w:rsidRPr="000505AA">
        <w:rPr>
          <w:rFonts w:eastAsia="Times New Roman"/>
        </w:rPr>
        <w:t>DFA Financial Control Division policies </w:t>
      </w:r>
    </w:p>
    <w:p w14:paraId="4B0E63CC" w14:textId="77777777" w:rsidR="000505AA" w:rsidRPr="000505AA" w:rsidRDefault="000505AA" w:rsidP="00894EC0">
      <w:pPr>
        <w:widowControl/>
        <w:numPr>
          <w:ilvl w:val="0"/>
          <w:numId w:val="33"/>
        </w:numPr>
        <w:autoSpaceDE/>
        <w:autoSpaceDN/>
        <w:ind w:left="1080" w:firstLine="0"/>
        <w:textAlignment w:val="baseline"/>
        <w:rPr>
          <w:rFonts w:eastAsia="Times New Roman"/>
        </w:rPr>
      </w:pPr>
      <w:r w:rsidRPr="000505AA">
        <w:rPr>
          <w:rFonts w:eastAsia="Times New Roman"/>
        </w:rPr>
        <w:t>SHARE project establishment requirements </w:t>
      </w:r>
    </w:p>
    <w:p w14:paraId="0217607B" w14:textId="77777777" w:rsidR="000505AA" w:rsidRPr="000505AA" w:rsidRDefault="000505AA" w:rsidP="000505AA">
      <w:pPr>
        <w:widowControl/>
        <w:autoSpaceDE/>
        <w:autoSpaceDN/>
        <w:ind w:left="720"/>
        <w:textAlignment w:val="baseline"/>
        <w:rPr>
          <w:rFonts w:ascii="Segoe UI" w:eastAsia="Times New Roman" w:hAnsi="Segoe UI" w:cs="Segoe UI"/>
          <w:sz w:val="18"/>
          <w:szCs w:val="18"/>
        </w:rPr>
      </w:pPr>
      <w:r w:rsidRPr="000505AA">
        <w:rPr>
          <w:rFonts w:eastAsia="Times New Roman"/>
        </w:rPr>
        <w:t> </w:t>
      </w:r>
    </w:p>
    <w:p w14:paraId="55DCFA37"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b/>
          <w:bCs/>
          <w:i/>
          <w:iCs/>
          <w:color w:val="404040"/>
        </w:rPr>
        <w:t>III. FINANCIAL MANAGEMENT</w:t>
      </w:r>
      <w:r w:rsidRPr="000505AA">
        <w:rPr>
          <w:rFonts w:eastAsia="Times New Roman"/>
          <w:color w:val="404040"/>
        </w:rPr>
        <w:t> </w:t>
      </w:r>
    </w:p>
    <w:p w14:paraId="1977FE48"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Federal Authorities</w:t>
      </w:r>
      <w:r w:rsidRPr="000505AA">
        <w:rPr>
          <w:rFonts w:eastAsia="Times New Roman"/>
        </w:rPr>
        <w:t> </w:t>
      </w:r>
    </w:p>
    <w:p w14:paraId="2B62C2A9" w14:textId="77777777" w:rsidR="000505AA" w:rsidRPr="000505AA" w:rsidRDefault="000505AA" w:rsidP="00894EC0">
      <w:pPr>
        <w:widowControl/>
        <w:numPr>
          <w:ilvl w:val="0"/>
          <w:numId w:val="34"/>
        </w:numPr>
        <w:autoSpaceDE/>
        <w:autoSpaceDN/>
        <w:ind w:left="1080" w:firstLine="0"/>
        <w:textAlignment w:val="baseline"/>
        <w:rPr>
          <w:rFonts w:eastAsia="Times New Roman"/>
        </w:rPr>
      </w:pPr>
      <w:r w:rsidRPr="000505AA">
        <w:rPr>
          <w:rFonts w:eastAsia="Times New Roman"/>
        </w:rPr>
        <w:t>2 CFR §200.302 – Financial management </w:t>
      </w:r>
    </w:p>
    <w:p w14:paraId="06D29135" w14:textId="77777777" w:rsidR="000505AA" w:rsidRPr="000505AA" w:rsidRDefault="000505AA" w:rsidP="00894EC0">
      <w:pPr>
        <w:widowControl/>
        <w:numPr>
          <w:ilvl w:val="0"/>
          <w:numId w:val="35"/>
        </w:numPr>
        <w:autoSpaceDE/>
        <w:autoSpaceDN/>
        <w:ind w:left="1080" w:firstLine="0"/>
        <w:textAlignment w:val="baseline"/>
        <w:rPr>
          <w:rFonts w:eastAsia="Times New Roman"/>
        </w:rPr>
      </w:pPr>
      <w:r w:rsidRPr="000505AA">
        <w:rPr>
          <w:rFonts w:eastAsia="Times New Roman"/>
        </w:rPr>
        <w:t>2 CFR §200.305 – Cash management </w:t>
      </w:r>
    </w:p>
    <w:p w14:paraId="5719607D" w14:textId="77777777" w:rsidR="000505AA" w:rsidRPr="000505AA" w:rsidRDefault="000505AA" w:rsidP="00894EC0">
      <w:pPr>
        <w:widowControl/>
        <w:numPr>
          <w:ilvl w:val="0"/>
          <w:numId w:val="36"/>
        </w:numPr>
        <w:autoSpaceDE/>
        <w:autoSpaceDN/>
        <w:ind w:left="1080" w:firstLine="0"/>
        <w:textAlignment w:val="baseline"/>
        <w:rPr>
          <w:rFonts w:eastAsia="Times New Roman"/>
        </w:rPr>
      </w:pPr>
      <w:r w:rsidRPr="000505AA">
        <w:rPr>
          <w:rFonts w:eastAsia="Times New Roman"/>
        </w:rPr>
        <w:t>2 CFR §200.403 – Factors affecting allowability </w:t>
      </w:r>
    </w:p>
    <w:p w14:paraId="03978B22" w14:textId="77777777" w:rsidR="000505AA" w:rsidRPr="000505AA" w:rsidRDefault="000505AA" w:rsidP="00894EC0">
      <w:pPr>
        <w:widowControl/>
        <w:numPr>
          <w:ilvl w:val="0"/>
          <w:numId w:val="37"/>
        </w:numPr>
        <w:autoSpaceDE/>
        <w:autoSpaceDN/>
        <w:ind w:left="1080" w:firstLine="0"/>
        <w:textAlignment w:val="baseline"/>
        <w:rPr>
          <w:rFonts w:eastAsia="Times New Roman"/>
        </w:rPr>
      </w:pPr>
      <w:r w:rsidRPr="000505AA">
        <w:rPr>
          <w:rFonts w:eastAsia="Times New Roman"/>
        </w:rPr>
        <w:t>2 CFR §200.404 – Reasonable costs </w:t>
      </w:r>
    </w:p>
    <w:p w14:paraId="67C14428" w14:textId="77777777" w:rsidR="000505AA" w:rsidRPr="000505AA" w:rsidRDefault="000505AA" w:rsidP="000505AA">
      <w:pPr>
        <w:widowControl/>
        <w:autoSpaceDE/>
        <w:autoSpaceDN/>
        <w:ind w:left="720"/>
        <w:textAlignment w:val="baseline"/>
        <w:rPr>
          <w:rFonts w:ascii="Segoe UI" w:eastAsia="Times New Roman" w:hAnsi="Segoe UI" w:cs="Segoe UI"/>
          <w:sz w:val="18"/>
          <w:szCs w:val="18"/>
        </w:rPr>
      </w:pPr>
      <w:r w:rsidRPr="000505AA">
        <w:rPr>
          <w:rFonts w:eastAsia="Times New Roman"/>
        </w:rPr>
        <w:t> </w:t>
      </w:r>
    </w:p>
    <w:p w14:paraId="7C60A432" w14:textId="77777777" w:rsidR="000505AA" w:rsidRPr="000505AA" w:rsidRDefault="000505AA" w:rsidP="00894EC0">
      <w:pPr>
        <w:widowControl/>
        <w:numPr>
          <w:ilvl w:val="0"/>
          <w:numId w:val="38"/>
        </w:numPr>
        <w:autoSpaceDE/>
        <w:autoSpaceDN/>
        <w:ind w:left="1080" w:firstLine="0"/>
        <w:textAlignment w:val="baseline"/>
        <w:rPr>
          <w:rFonts w:eastAsia="Times New Roman"/>
        </w:rPr>
      </w:pPr>
      <w:r w:rsidRPr="000505AA">
        <w:rPr>
          <w:rFonts w:eastAsia="Times New Roman"/>
        </w:rPr>
        <w:t>2 CFR §200.405 – Allocable costs </w:t>
      </w:r>
    </w:p>
    <w:p w14:paraId="2288010F" w14:textId="77777777" w:rsidR="000505AA" w:rsidRPr="000505AA" w:rsidRDefault="000505AA" w:rsidP="00894EC0">
      <w:pPr>
        <w:widowControl/>
        <w:numPr>
          <w:ilvl w:val="0"/>
          <w:numId w:val="39"/>
        </w:numPr>
        <w:autoSpaceDE/>
        <w:autoSpaceDN/>
        <w:ind w:left="1080" w:firstLine="0"/>
        <w:textAlignment w:val="baseline"/>
        <w:rPr>
          <w:rFonts w:eastAsia="Times New Roman"/>
        </w:rPr>
      </w:pPr>
      <w:r w:rsidRPr="000505AA">
        <w:rPr>
          <w:rFonts w:eastAsia="Times New Roman"/>
        </w:rPr>
        <w:t>2 CFR §200.414 – Indirect costs </w:t>
      </w:r>
    </w:p>
    <w:p w14:paraId="569D6FB2" w14:textId="77777777" w:rsidR="000505AA" w:rsidRPr="000505AA" w:rsidRDefault="000505AA" w:rsidP="00894EC0">
      <w:pPr>
        <w:widowControl/>
        <w:numPr>
          <w:ilvl w:val="0"/>
          <w:numId w:val="40"/>
        </w:numPr>
        <w:autoSpaceDE/>
        <w:autoSpaceDN/>
        <w:ind w:left="1080" w:firstLine="0"/>
        <w:textAlignment w:val="baseline"/>
        <w:rPr>
          <w:rFonts w:eastAsia="Times New Roman"/>
        </w:rPr>
      </w:pPr>
      <w:r w:rsidRPr="000505AA">
        <w:rPr>
          <w:rFonts w:eastAsia="Times New Roman"/>
        </w:rPr>
        <w:t>2 CFR §200.430 – Compensation </w:t>
      </w:r>
    </w:p>
    <w:p w14:paraId="70D2D1EF" w14:textId="77777777" w:rsidR="000505AA" w:rsidRPr="000505AA" w:rsidRDefault="000505AA" w:rsidP="00894EC0">
      <w:pPr>
        <w:widowControl/>
        <w:numPr>
          <w:ilvl w:val="0"/>
          <w:numId w:val="41"/>
        </w:numPr>
        <w:autoSpaceDE/>
        <w:autoSpaceDN/>
        <w:ind w:left="1080" w:firstLine="0"/>
        <w:textAlignment w:val="baseline"/>
        <w:rPr>
          <w:rFonts w:eastAsia="Times New Roman"/>
        </w:rPr>
      </w:pPr>
      <w:r w:rsidRPr="000505AA">
        <w:rPr>
          <w:rFonts w:eastAsia="Times New Roman"/>
        </w:rPr>
        <w:t>2 CFR §200.313 – Equipment </w:t>
      </w:r>
    </w:p>
    <w:p w14:paraId="62CCA898"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New Mexico Authorities</w:t>
      </w:r>
      <w:r w:rsidRPr="000505AA">
        <w:rPr>
          <w:rFonts w:eastAsia="Times New Roman"/>
        </w:rPr>
        <w:t> </w:t>
      </w:r>
    </w:p>
    <w:p w14:paraId="606CC946" w14:textId="7B1DB28B" w:rsidR="000505AA" w:rsidRPr="000505AA" w:rsidRDefault="000505AA" w:rsidP="00894EC0">
      <w:pPr>
        <w:widowControl/>
        <w:numPr>
          <w:ilvl w:val="0"/>
          <w:numId w:val="42"/>
        </w:numPr>
        <w:autoSpaceDE/>
        <w:autoSpaceDN/>
        <w:ind w:left="1080" w:firstLine="0"/>
        <w:textAlignment w:val="baseline"/>
        <w:rPr>
          <w:rFonts w:eastAsia="Times New Roman"/>
        </w:rPr>
      </w:pPr>
      <w:r w:rsidRPr="000505AA">
        <w:rPr>
          <w:rFonts w:eastAsia="Times New Roman"/>
        </w:rPr>
        <w:t>2.2.2 NMAC – Accounting and Control of Finances </w:t>
      </w:r>
    </w:p>
    <w:p w14:paraId="48727E83" w14:textId="77777777" w:rsidR="000505AA" w:rsidRPr="000505AA" w:rsidRDefault="000505AA" w:rsidP="00894EC0">
      <w:pPr>
        <w:widowControl/>
        <w:numPr>
          <w:ilvl w:val="0"/>
          <w:numId w:val="43"/>
        </w:numPr>
        <w:autoSpaceDE/>
        <w:autoSpaceDN/>
        <w:ind w:left="1080" w:firstLine="0"/>
        <w:textAlignment w:val="baseline"/>
        <w:rPr>
          <w:rFonts w:eastAsia="Times New Roman"/>
        </w:rPr>
      </w:pPr>
      <w:r w:rsidRPr="000505AA">
        <w:rPr>
          <w:rFonts w:eastAsia="Times New Roman"/>
        </w:rPr>
        <w:t>State Treasury Act </w:t>
      </w:r>
    </w:p>
    <w:p w14:paraId="6B6C39A2" w14:textId="77777777" w:rsidR="000505AA" w:rsidRPr="000505AA" w:rsidRDefault="000505AA" w:rsidP="00894EC0">
      <w:pPr>
        <w:widowControl/>
        <w:numPr>
          <w:ilvl w:val="0"/>
          <w:numId w:val="44"/>
        </w:numPr>
        <w:autoSpaceDE/>
        <w:autoSpaceDN/>
        <w:ind w:left="1080" w:firstLine="0"/>
        <w:textAlignment w:val="baseline"/>
        <w:rPr>
          <w:rFonts w:eastAsia="Times New Roman"/>
        </w:rPr>
      </w:pPr>
      <w:r w:rsidRPr="000505AA">
        <w:rPr>
          <w:rFonts w:eastAsia="Times New Roman"/>
        </w:rPr>
        <w:lastRenderedPageBreak/>
        <w:t>General Appropriations Act </w:t>
      </w:r>
    </w:p>
    <w:p w14:paraId="31EBF815" w14:textId="77777777" w:rsidR="000505AA" w:rsidRPr="000505AA" w:rsidRDefault="000505AA" w:rsidP="00894EC0">
      <w:pPr>
        <w:widowControl/>
        <w:numPr>
          <w:ilvl w:val="0"/>
          <w:numId w:val="45"/>
        </w:numPr>
        <w:autoSpaceDE/>
        <w:autoSpaceDN/>
        <w:ind w:left="1080" w:firstLine="0"/>
        <w:textAlignment w:val="baseline"/>
        <w:rPr>
          <w:rFonts w:eastAsia="Times New Roman"/>
        </w:rPr>
      </w:pPr>
      <w:r w:rsidRPr="000505AA">
        <w:rPr>
          <w:rFonts w:eastAsia="Times New Roman"/>
        </w:rPr>
        <w:t>DFA SHARE policies </w:t>
      </w:r>
    </w:p>
    <w:p w14:paraId="44991DC3" w14:textId="77777777" w:rsidR="000505AA" w:rsidRPr="000505AA" w:rsidRDefault="000505AA" w:rsidP="00894EC0">
      <w:pPr>
        <w:widowControl/>
        <w:numPr>
          <w:ilvl w:val="0"/>
          <w:numId w:val="46"/>
        </w:numPr>
        <w:autoSpaceDE/>
        <w:autoSpaceDN/>
        <w:ind w:left="1080" w:firstLine="0"/>
        <w:textAlignment w:val="baseline"/>
        <w:rPr>
          <w:rFonts w:eastAsia="Times New Roman"/>
        </w:rPr>
      </w:pPr>
      <w:r w:rsidRPr="000505AA">
        <w:rPr>
          <w:rFonts w:eastAsia="Times New Roman"/>
        </w:rPr>
        <w:t>State property control regulations </w:t>
      </w:r>
    </w:p>
    <w:p w14:paraId="41179D67" w14:textId="77777777" w:rsidR="000505AA" w:rsidRPr="000505AA" w:rsidRDefault="000505AA" w:rsidP="000505AA">
      <w:pPr>
        <w:widowControl/>
        <w:autoSpaceDE/>
        <w:autoSpaceDN/>
        <w:textAlignment w:val="baseline"/>
        <w:rPr>
          <w:rFonts w:ascii="Segoe UI" w:eastAsia="Times New Roman" w:hAnsi="Segoe UI" w:cs="Segoe UI"/>
          <w:sz w:val="18"/>
          <w:szCs w:val="18"/>
        </w:rPr>
      </w:pPr>
      <w:r w:rsidRPr="000505AA">
        <w:rPr>
          <w:rFonts w:eastAsia="Times New Roman"/>
        </w:rPr>
        <w:t> </w:t>
      </w:r>
    </w:p>
    <w:p w14:paraId="41FE50E9"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b/>
          <w:bCs/>
          <w:i/>
          <w:iCs/>
          <w:color w:val="404040"/>
        </w:rPr>
        <w:t>IV. PROCUREMENT &amp; CONTRACT MANAGEMENT</w:t>
      </w:r>
      <w:r w:rsidRPr="000505AA">
        <w:rPr>
          <w:rFonts w:eastAsia="Times New Roman"/>
          <w:color w:val="404040"/>
        </w:rPr>
        <w:t> </w:t>
      </w:r>
    </w:p>
    <w:p w14:paraId="5472C1FA"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Federal Authorities</w:t>
      </w:r>
      <w:r w:rsidRPr="000505AA">
        <w:rPr>
          <w:rFonts w:eastAsia="Times New Roman"/>
        </w:rPr>
        <w:t> </w:t>
      </w:r>
    </w:p>
    <w:p w14:paraId="51886AA9" w14:textId="77777777" w:rsidR="000505AA" w:rsidRPr="000505AA" w:rsidRDefault="000505AA" w:rsidP="00894EC0">
      <w:pPr>
        <w:widowControl/>
        <w:numPr>
          <w:ilvl w:val="0"/>
          <w:numId w:val="47"/>
        </w:numPr>
        <w:autoSpaceDE/>
        <w:autoSpaceDN/>
        <w:ind w:left="1080" w:firstLine="0"/>
        <w:textAlignment w:val="baseline"/>
        <w:rPr>
          <w:rFonts w:eastAsia="Times New Roman"/>
        </w:rPr>
      </w:pPr>
      <w:r w:rsidRPr="000505AA">
        <w:rPr>
          <w:rFonts w:eastAsia="Times New Roman"/>
        </w:rPr>
        <w:t>2 CFR §§200.317–327 – Procurement standards </w:t>
      </w:r>
    </w:p>
    <w:p w14:paraId="7970C33C" w14:textId="77777777" w:rsidR="000505AA" w:rsidRPr="000505AA" w:rsidRDefault="000505AA" w:rsidP="00894EC0">
      <w:pPr>
        <w:widowControl/>
        <w:numPr>
          <w:ilvl w:val="0"/>
          <w:numId w:val="48"/>
        </w:numPr>
        <w:autoSpaceDE/>
        <w:autoSpaceDN/>
        <w:ind w:left="1080" w:firstLine="0"/>
        <w:textAlignment w:val="baseline"/>
        <w:rPr>
          <w:rFonts w:eastAsia="Times New Roman"/>
        </w:rPr>
      </w:pPr>
      <w:r w:rsidRPr="000505AA">
        <w:rPr>
          <w:rFonts w:eastAsia="Times New Roman"/>
        </w:rPr>
        <w:t>2 CFR §200.319 – Competition </w:t>
      </w:r>
    </w:p>
    <w:p w14:paraId="75FEDFF0" w14:textId="77777777" w:rsidR="000505AA" w:rsidRPr="000505AA" w:rsidRDefault="000505AA" w:rsidP="00894EC0">
      <w:pPr>
        <w:widowControl/>
        <w:numPr>
          <w:ilvl w:val="0"/>
          <w:numId w:val="49"/>
        </w:numPr>
        <w:autoSpaceDE/>
        <w:autoSpaceDN/>
        <w:ind w:left="1080" w:firstLine="0"/>
        <w:textAlignment w:val="baseline"/>
        <w:rPr>
          <w:rFonts w:eastAsia="Times New Roman"/>
        </w:rPr>
      </w:pPr>
      <w:r w:rsidRPr="000505AA">
        <w:rPr>
          <w:rFonts w:eastAsia="Times New Roman"/>
        </w:rPr>
        <w:t>2 CFR §200.324 – Cost and price analysis </w:t>
      </w:r>
    </w:p>
    <w:p w14:paraId="4DE1DFDD" w14:textId="77777777" w:rsidR="000505AA" w:rsidRPr="000505AA" w:rsidRDefault="000505AA" w:rsidP="00894EC0">
      <w:pPr>
        <w:widowControl/>
        <w:numPr>
          <w:ilvl w:val="0"/>
          <w:numId w:val="50"/>
        </w:numPr>
        <w:autoSpaceDE/>
        <w:autoSpaceDN/>
        <w:ind w:left="1080" w:firstLine="0"/>
        <w:textAlignment w:val="baseline"/>
        <w:rPr>
          <w:rFonts w:eastAsia="Times New Roman"/>
        </w:rPr>
      </w:pPr>
      <w:r w:rsidRPr="000505AA">
        <w:rPr>
          <w:rFonts w:eastAsia="Times New Roman"/>
        </w:rPr>
        <w:t>2 CFR §200.339 – Remedies for noncompliance </w:t>
      </w:r>
    </w:p>
    <w:p w14:paraId="6D560DDB"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New Mexico Authorities</w:t>
      </w:r>
      <w:r w:rsidRPr="000505AA">
        <w:rPr>
          <w:rFonts w:eastAsia="Times New Roman"/>
        </w:rPr>
        <w:t> </w:t>
      </w:r>
    </w:p>
    <w:p w14:paraId="195E6BF8" w14:textId="447FB59B" w:rsidR="000505AA" w:rsidRPr="000505AA" w:rsidRDefault="000505AA" w:rsidP="00894EC0">
      <w:pPr>
        <w:widowControl/>
        <w:numPr>
          <w:ilvl w:val="0"/>
          <w:numId w:val="51"/>
        </w:numPr>
        <w:autoSpaceDE/>
        <w:autoSpaceDN/>
        <w:ind w:left="1080" w:firstLine="0"/>
        <w:textAlignment w:val="baseline"/>
        <w:rPr>
          <w:rFonts w:eastAsia="Times New Roman"/>
        </w:rPr>
      </w:pPr>
      <w:r w:rsidRPr="000505AA">
        <w:rPr>
          <w:rFonts w:eastAsia="Times New Roman"/>
        </w:rPr>
        <w:t>Procurement Code, NMSA 1978 §§13-1-28 through 13-1-199 </w:t>
      </w:r>
    </w:p>
    <w:p w14:paraId="5660C1AA" w14:textId="77777777" w:rsidR="000505AA" w:rsidRPr="000505AA" w:rsidRDefault="000505AA" w:rsidP="00894EC0">
      <w:pPr>
        <w:widowControl/>
        <w:numPr>
          <w:ilvl w:val="0"/>
          <w:numId w:val="52"/>
        </w:numPr>
        <w:autoSpaceDE/>
        <w:autoSpaceDN/>
        <w:ind w:left="1080" w:firstLine="0"/>
        <w:textAlignment w:val="baseline"/>
        <w:rPr>
          <w:rFonts w:eastAsia="Times New Roman"/>
        </w:rPr>
      </w:pPr>
      <w:r w:rsidRPr="000505AA">
        <w:rPr>
          <w:rFonts w:eastAsia="Times New Roman"/>
        </w:rPr>
        <w:t>1.4 NMAC – Procurement Code Regulations </w:t>
      </w:r>
    </w:p>
    <w:p w14:paraId="58F275EA" w14:textId="77777777" w:rsidR="000505AA" w:rsidRPr="000505AA" w:rsidRDefault="000505AA" w:rsidP="00894EC0">
      <w:pPr>
        <w:widowControl/>
        <w:numPr>
          <w:ilvl w:val="0"/>
          <w:numId w:val="53"/>
        </w:numPr>
        <w:autoSpaceDE/>
        <w:autoSpaceDN/>
        <w:ind w:left="1080" w:firstLine="0"/>
        <w:textAlignment w:val="baseline"/>
        <w:rPr>
          <w:rFonts w:eastAsia="Times New Roman"/>
        </w:rPr>
      </w:pPr>
      <w:r w:rsidRPr="000505AA">
        <w:rPr>
          <w:rFonts w:eastAsia="Times New Roman"/>
        </w:rPr>
        <w:t>2.20.1 NMAC – Contract Management </w:t>
      </w:r>
    </w:p>
    <w:p w14:paraId="68A28612" w14:textId="77777777" w:rsidR="000505AA" w:rsidRPr="000505AA" w:rsidRDefault="000505AA" w:rsidP="00894EC0">
      <w:pPr>
        <w:widowControl/>
        <w:numPr>
          <w:ilvl w:val="0"/>
          <w:numId w:val="54"/>
        </w:numPr>
        <w:autoSpaceDE/>
        <w:autoSpaceDN/>
        <w:ind w:left="1080" w:firstLine="0"/>
        <w:textAlignment w:val="baseline"/>
        <w:rPr>
          <w:rFonts w:eastAsia="Times New Roman"/>
        </w:rPr>
      </w:pPr>
      <w:r w:rsidRPr="000505AA">
        <w:rPr>
          <w:rFonts w:eastAsia="Times New Roman"/>
        </w:rPr>
        <w:t>§13-1-158 NMSA – Certification prior to payment </w:t>
      </w:r>
    </w:p>
    <w:p w14:paraId="3DFE483E"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t> </w:t>
      </w:r>
    </w:p>
    <w:p w14:paraId="5F2634FC"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b/>
          <w:bCs/>
          <w:i/>
          <w:iCs/>
          <w:color w:val="404040"/>
        </w:rPr>
        <w:t>V. SUBRECIPIENT MANAGEMENT</w:t>
      </w:r>
      <w:r w:rsidRPr="000505AA">
        <w:rPr>
          <w:rFonts w:eastAsia="Times New Roman"/>
          <w:color w:val="404040"/>
        </w:rPr>
        <w:t> </w:t>
      </w:r>
    </w:p>
    <w:p w14:paraId="57CB85CE"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Federal Authorities</w:t>
      </w:r>
      <w:r w:rsidRPr="000505AA">
        <w:rPr>
          <w:rFonts w:eastAsia="Times New Roman"/>
        </w:rPr>
        <w:t> </w:t>
      </w:r>
    </w:p>
    <w:p w14:paraId="35D91D02" w14:textId="77777777" w:rsidR="000505AA" w:rsidRPr="000505AA" w:rsidRDefault="000505AA" w:rsidP="00894EC0">
      <w:pPr>
        <w:widowControl/>
        <w:numPr>
          <w:ilvl w:val="0"/>
          <w:numId w:val="55"/>
        </w:numPr>
        <w:autoSpaceDE/>
        <w:autoSpaceDN/>
        <w:ind w:left="1080" w:firstLine="0"/>
        <w:textAlignment w:val="baseline"/>
        <w:rPr>
          <w:rFonts w:eastAsia="Times New Roman"/>
        </w:rPr>
      </w:pPr>
      <w:r w:rsidRPr="000505AA">
        <w:rPr>
          <w:rFonts w:eastAsia="Times New Roman"/>
        </w:rPr>
        <w:t>2 CFR §200.331 – Subrecipient and contractor determinations </w:t>
      </w:r>
    </w:p>
    <w:p w14:paraId="653AA227" w14:textId="77777777" w:rsidR="000505AA" w:rsidRPr="000505AA" w:rsidRDefault="000505AA" w:rsidP="00894EC0">
      <w:pPr>
        <w:widowControl/>
        <w:numPr>
          <w:ilvl w:val="0"/>
          <w:numId w:val="56"/>
        </w:numPr>
        <w:autoSpaceDE/>
        <w:autoSpaceDN/>
        <w:ind w:left="1080" w:firstLine="0"/>
        <w:textAlignment w:val="baseline"/>
        <w:rPr>
          <w:rFonts w:eastAsia="Times New Roman"/>
        </w:rPr>
      </w:pPr>
      <w:r w:rsidRPr="000505AA">
        <w:rPr>
          <w:rFonts w:eastAsia="Times New Roman"/>
        </w:rPr>
        <w:t>2 CFR §200.332 – Requirements for pass-through entities </w:t>
      </w:r>
    </w:p>
    <w:p w14:paraId="156B9680" w14:textId="77777777" w:rsidR="000505AA" w:rsidRPr="000505AA" w:rsidRDefault="000505AA" w:rsidP="00894EC0">
      <w:pPr>
        <w:widowControl/>
        <w:numPr>
          <w:ilvl w:val="0"/>
          <w:numId w:val="57"/>
        </w:numPr>
        <w:autoSpaceDE/>
        <w:autoSpaceDN/>
        <w:ind w:left="1080" w:firstLine="0"/>
        <w:textAlignment w:val="baseline"/>
        <w:rPr>
          <w:rFonts w:eastAsia="Times New Roman"/>
        </w:rPr>
      </w:pPr>
      <w:r w:rsidRPr="000505AA">
        <w:rPr>
          <w:rFonts w:eastAsia="Times New Roman"/>
        </w:rPr>
        <w:t>2 CFR §200.501 – Audit requirements </w:t>
      </w:r>
    </w:p>
    <w:p w14:paraId="5B79684B"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New Mexico Authorities</w:t>
      </w:r>
      <w:r w:rsidRPr="000505AA">
        <w:rPr>
          <w:rFonts w:eastAsia="Times New Roman"/>
        </w:rPr>
        <w:t> </w:t>
      </w:r>
    </w:p>
    <w:p w14:paraId="5BA2DD23" w14:textId="77777777" w:rsidR="000505AA" w:rsidRPr="000505AA" w:rsidRDefault="000505AA" w:rsidP="00894EC0">
      <w:pPr>
        <w:widowControl/>
        <w:numPr>
          <w:ilvl w:val="0"/>
          <w:numId w:val="58"/>
        </w:numPr>
        <w:autoSpaceDE/>
        <w:autoSpaceDN/>
        <w:ind w:left="1080" w:firstLine="0"/>
        <w:textAlignment w:val="baseline"/>
        <w:rPr>
          <w:rFonts w:eastAsia="Times New Roman"/>
        </w:rPr>
      </w:pPr>
      <w:r w:rsidRPr="000505AA">
        <w:rPr>
          <w:rFonts w:eastAsia="Times New Roman"/>
        </w:rPr>
        <w:t>State Audit Act </w:t>
      </w:r>
    </w:p>
    <w:p w14:paraId="120A6408" w14:textId="77777777" w:rsidR="000505AA" w:rsidRPr="000505AA" w:rsidRDefault="000505AA" w:rsidP="00894EC0">
      <w:pPr>
        <w:widowControl/>
        <w:numPr>
          <w:ilvl w:val="0"/>
          <w:numId w:val="59"/>
        </w:numPr>
        <w:autoSpaceDE/>
        <w:autoSpaceDN/>
        <w:ind w:left="1080" w:firstLine="0"/>
        <w:textAlignment w:val="baseline"/>
        <w:rPr>
          <w:rFonts w:eastAsia="Times New Roman"/>
        </w:rPr>
      </w:pPr>
      <w:r w:rsidRPr="000505AA">
        <w:rPr>
          <w:rFonts w:eastAsia="Times New Roman"/>
        </w:rPr>
        <w:t>2.20.1 NMAC </w:t>
      </w:r>
    </w:p>
    <w:p w14:paraId="62520D3F" w14:textId="0F4EB9EB"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t>Procurement Code definitions  </w:t>
      </w:r>
    </w:p>
    <w:p w14:paraId="00D31E1B"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b/>
          <w:bCs/>
          <w:i/>
          <w:iCs/>
          <w:color w:val="404040"/>
        </w:rPr>
        <w:t>VI. PERFORMANCE &amp; REPORTING</w:t>
      </w:r>
      <w:r w:rsidRPr="000505AA">
        <w:rPr>
          <w:rFonts w:eastAsia="Times New Roman"/>
          <w:color w:val="404040"/>
        </w:rPr>
        <w:t> </w:t>
      </w:r>
    </w:p>
    <w:p w14:paraId="3E369AB8"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Federal Authorities</w:t>
      </w:r>
      <w:r w:rsidRPr="000505AA">
        <w:rPr>
          <w:rFonts w:eastAsia="Times New Roman"/>
        </w:rPr>
        <w:t> </w:t>
      </w:r>
    </w:p>
    <w:p w14:paraId="4FDA656D" w14:textId="77777777" w:rsidR="000505AA" w:rsidRPr="000505AA" w:rsidRDefault="000505AA" w:rsidP="00894EC0">
      <w:pPr>
        <w:widowControl/>
        <w:numPr>
          <w:ilvl w:val="0"/>
          <w:numId w:val="63"/>
        </w:numPr>
        <w:autoSpaceDE/>
        <w:autoSpaceDN/>
        <w:ind w:left="1080" w:firstLine="0"/>
        <w:textAlignment w:val="baseline"/>
        <w:rPr>
          <w:rFonts w:eastAsia="Times New Roman"/>
        </w:rPr>
      </w:pPr>
      <w:r w:rsidRPr="000505AA">
        <w:rPr>
          <w:rFonts w:eastAsia="Times New Roman"/>
        </w:rPr>
        <w:t>2 CFR §200.301 – Performance measurement </w:t>
      </w:r>
    </w:p>
    <w:p w14:paraId="0871F113" w14:textId="77777777" w:rsidR="000505AA" w:rsidRPr="000505AA" w:rsidRDefault="000505AA" w:rsidP="00894EC0">
      <w:pPr>
        <w:widowControl/>
        <w:numPr>
          <w:ilvl w:val="0"/>
          <w:numId w:val="64"/>
        </w:numPr>
        <w:autoSpaceDE/>
        <w:autoSpaceDN/>
        <w:ind w:left="1080" w:firstLine="0"/>
        <w:textAlignment w:val="baseline"/>
        <w:rPr>
          <w:rFonts w:eastAsia="Times New Roman"/>
        </w:rPr>
      </w:pPr>
      <w:r w:rsidRPr="000505AA">
        <w:rPr>
          <w:rFonts w:eastAsia="Times New Roman"/>
        </w:rPr>
        <w:t>2 CFR §200.328 – Financial reporting </w:t>
      </w:r>
    </w:p>
    <w:p w14:paraId="163A1DA7" w14:textId="77777777" w:rsidR="000505AA" w:rsidRPr="000505AA" w:rsidRDefault="000505AA" w:rsidP="00894EC0">
      <w:pPr>
        <w:widowControl/>
        <w:numPr>
          <w:ilvl w:val="0"/>
          <w:numId w:val="65"/>
        </w:numPr>
        <w:autoSpaceDE/>
        <w:autoSpaceDN/>
        <w:ind w:left="1080" w:firstLine="0"/>
        <w:textAlignment w:val="baseline"/>
        <w:rPr>
          <w:rFonts w:eastAsia="Times New Roman"/>
        </w:rPr>
      </w:pPr>
      <w:r w:rsidRPr="000505AA">
        <w:rPr>
          <w:rFonts w:eastAsia="Times New Roman"/>
        </w:rPr>
        <w:t>2 CFR §200.329 – Monitoring and reporting performance </w:t>
      </w:r>
    </w:p>
    <w:p w14:paraId="4E90488A"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t> </w:t>
      </w:r>
    </w:p>
    <w:p w14:paraId="103BAACE"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New Mexico Authorities</w:t>
      </w:r>
      <w:r w:rsidRPr="000505AA">
        <w:rPr>
          <w:rFonts w:eastAsia="Times New Roman"/>
        </w:rPr>
        <w:t> </w:t>
      </w:r>
    </w:p>
    <w:p w14:paraId="5C145E0D" w14:textId="77777777" w:rsidR="000505AA" w:rsidRPr="000505AA" w:rsidRDefault="000505AA" w:rsidP="00894EC0">
      <w:pPr>
        <w:widowControl/>
        <w:numPr>
          <w:ilvl w:val="0"/>
          <w:numId w:val="66"/>
        </w:numPr>
        <w:autoSpaceDE/>
        <w:autoSpaceDN/>
        <w:ind w:left="1080" w:firstLine="0"/>
        <w:textAlignment w:val="baseline"/>
        <w:rPr>
          <w:rFonts w:eastAsia="Times New Roman"/>
        </w:rPr>
      </w:pPr>
      <w:r w:rsidRPr="000505AA">
        <w:rPr>
          <w:rFonts w:eastAsia="Times New Roman"/>
        </w:rPr>
        <w:t>Legislative reporting statutes </w:t>
      </w:r>
    </w:p>
    <w:p w14:paraId="146901ED" w14:textId="77777777" w:rsidR="000505AA" w:rsidRPr="000505AA" w:rsidRDefault="000505AA" w:rsidP="00894EC0">
      <w:pPr>
        <w:widowControl/>
        <w:numPr>
          <w:ilvl w:val="0"/>
          <w:numId w:val="67"/>
        </w:numPr>
        <w:autoSpaceDE/>
        <w:autoSpaceDN/>
        <w:ind w:left="1080" w:firstLine="0"/>
        <w:textAlignment w:val="baseline"/>
        <w:rPr>
          <w:rFonts w:eastAsia="Times New Roman"/>
        </w:rPr>
      </w:pPr>
      <w:r w:rsidRPr="000505AA">
        <w:rPr>
          <w:rFonts w:eastAsia="Times New Roman"/>
        </w:rPr>
        <w:t>DFA reporting guidance </w:t>
      </w:r>
    </w:p>
    <w:p w14:paraId="1B7B957A" w14:textId="77777777" w:rsidR="000505AA" w:rsidRPr="000505AA" w:rsidRDefault="000505AA" w:rsidP="00894EC0">
      <w:pPr>
        <w:widowControl/>
        <w:numPr>
          <w:ilvl w:val="0"/>
          <w:numId w:val="68"/>
        </w:numPr>
        <w:autoSpaceDE/>
        <w:autoSpaceDN/>
        <w:ind w:left="1080" w:firstLine="0"/>
        <w:textAlignment w:val="baseline"/>
        <w:rPr>
          <w:rFonts w:eastAsia="Times New Roman"/>
        </w:rPr>
      </w:pPr>
      <w:r w:rsidRPr="000505AA">
        <w:rPr>
          <w:rFonts w:eastAsia="Times New Roman"/>
        </w:rPr>
        <w:t>Capital Outlay Act reporting requirements </w:t>
      </w:r>
    </w:p>
    <w:p w14:paraId="6F221B85"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t> </w:t>
      </w:r>
    </w:p>
    <w:p w14:paraId="0A86B1FC"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b/>
          <w:bCs/>
          <w:i/>
          <w:iCs/>
          <w:color w:val="404040"/>
        </w:rPr>
        <w:t>VII. MODIFICATIONS</w:t>
      </w:r>
      <w:r w:rsidRPr="000505AA">
        <w:rPr>
          <w:rFonts w:eastAsia="Times New Roman"/>
          <w:color w:val="404040"/>
        </w:rPr>
        <w:t> </w:t>
      </w:r>
    </w:p>
    <w:p w14:paraId="6C66BCFA"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Federal Authority</w:t>
      </w:r>
      <w:r w:rsidRPr="000505AA">
        <w:rPr>
          <w:rFonts w:eastAsia="Times New Roman"/>
        </w:rPr>
        <w:t> </w:t>
      </w:r>
    </w:p>
    <w:p w14:paraId="3C6CB802" w14:textId="77777777" w:rsidR="000505AA" w:rsidRPr="000505AA" w:rsidRDefault="000505AA" w:rsidP="00894EC0">
      <w:pPr>
        <w:widowControl/>
        <w:numPr>
          <w:ilvl w:val="0"/>
          <w:numId w:val="69"/>
        </w:numPr>
        <w:autoSpaceDE/>
        <w:autoSpaceDN/>
        <w:ind w:left="1080" w:firstLine="0"/>
        <w:textAlignment w:val="baseline"/>
        <w:rPr>
          <w:rFonts w:eastAsia="Times New Roman"/>
        </w:rPr>
      </w:pPr>
      <w:r w:rsidRPr="000505AA">
        <w:rPr>
          <w:rFonts w:eastAsia="Times New Roman"/>
        </w:rPr>
        <w:t>2 CFR §200.308 – Revisions of budget and program plans </w:t>
      </w:r>
    </w:p>
    <w:p w14:paraId="31DC01DD"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New Mexico Authorities</w:t>
      </w:r>
      <w:r w:rsidRPr="000505AA">
        <w:rPr>
          <w:rFonts w:eastAsia="Times New Roman"/>
        </w:rPr>
        <w:t> </w:t>
      </w:r>
    </w:p>
    <w:p w14:paraId="60404CA8" w14:textId="77777777" w:rsidR="000505AA" w:rsidRPr="000505AA" w:rsidRDefault="000505AA" w:rsidP="00894EC0">
      <w:pPr>
        <w:widowControl/>
        <w:numPr>
          <w:ilvl w:val="0"/>
          <w:numId w:val="70"/>
        </w:numPr>
        <w:autoSpaceDE/>
        <w:autoSpaceDN/>
        <w:ind w:left="1080" w:firstLine="0"/>
        <w:textAlignment w:val="baseline"/>
        <w:rPr>
          <w:rFonts w:eastAsia="Times New Roman"/>
        </w:rPr>
      </w:pPr>
      <w:r w:rsidRPr="000505AA">
        <w:rPr>
          <w:rFonts w:eastAsia="Times New Roman"/>
        </w:rPr>
        <w:t>Procurement Code amendment requirements </w:t>
      </w:r>
    </w:p>
    <w:p w14:paraId="1DC9ACEA" w14:textId="77777777" w:rsidR="000505AA" w:rsidRPr="000505AA" w:rsidRDefault="000505AA" w:rsidP="00894EC0">
      <w:pPr>
        <w:widowControl/>
        <w:numPr>
          <w:ilvl w:val="0"/>
          <w:numId w:val="71"/>
        </w:numPr>
        <w:autoSpaceDE/>
        <w:autoSpaceDN/>
        <w:ind w:left="1080" w:firstLine="0"/>
        <w:textAlignment w:val="baseline"/>
        <w:rPr>
          <w:rFonts w:eastAsia="Times New Roman"/>
        </w:rPr>
      </w:pPr>
      <w:r w:rsidRPr="000505AA">
        <w:rPr>
          <w:rFonts w:eastAsia="Times New Roman"/>
        </w:rPr>
        <w:t>DFA budget adjustment procedures </w:t>
      </w:r>
    </w:p>
    <w:p w14:paraId="5CFB455A" w14:textId="77777777" w:rsidR="000505AA" w:rsidRPr="000505AA" w:rsidRDefault="000505AA" w:rsidP="00894EC0">
      <w:pPr>
        <w:widowControl/>
        <w:numPr>
          <w:ilvl w:val="0"/>
          <w:numId w:val="72"/>
        </w:numPr>
        <w:autoSpaceDE/>
        <w:autoSpaceDN/>
        <w:ind w:left="1080" w:firstLine="0"/>
        <w:textAlignment w:val="baseline"/>
        <w:rPr>
          <w:rFonts w:eastAsia="Times New Roman"/>
        </w:rPr>
      </w:pPr>
      <w:r w:rsidRPr="000505AA">
        <w:rPr>
          <w:rFonts w:eastAsia="Times New Roman"/>
        </w:rPr>
        <w:t>SHARE modification controls </w:t>
      </w:r>
    </w:p>
    <w:p w14:paraId="2EA07E50"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t> </w:t>
      </w:r>
    </w:p>
    <w:p w14:paraId="5E1A9D20"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b/>
          <w:bCs/>
          <w:i/>
          <w:iCs/>
          <w:color w:val="404040"/>
        </w:rPr>
        <w:t>VIII. AUDIT &amp; CLOSEOUT</w:t>
      </w:r>
      <w:r w:rsidRPr="000505AA">
        <w:rPr>
          <w:rFonts w:eastAsia="Times New Roman"/>
          <w:color w:val="404040"/>
        </w:rPr>
        <w:t> </w:t>
      </w:r>
    </w:p>
    <w:p w14:paraId="3E0ABB34"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Federal Authorities</w:t>
      </w:r>
      <w:r w:rsidRPr="000505AA">
        <w:rPr>
          <w:rFonts w:eastAsia="Times New Roman"/>
        </w:rPr>
        <w:t> </w:t>
      </w:r>
    </w:p>
    <w:p w14:paraId="3CBC86EB" w14:textId="77777777" w:rsidR="000505AA" w:rsidRPr="000505AA" w:rsidRDefault="000505AA" w:rsidP="00894EC0">
      <w:pPr>
        <w:widowControl/>
        <w:numPr>
          <w:ilvl w:val="0"/>
          <w:numId w:val="73"/>
        </w:numPr>
        <w:autoSpaceDE/>
        <w:autoSpaceDN/>
        <w:ind w:left="1080" w:firstLine="0"/>
        <w:textAlignment w:val="baseline"/>
        <w:rPr>
          <w:rFonts w:eastAsia="Times New Roman"/>
        </w:rPr>
      </w:pPr>
      <w:r w:rsidRPr="000505AA">
        <w:rPr>
          <w:rFonts w:eastAsia="Times New Roman"/>
        </w:rPr>
        <w:t>2 CFR §200.501 – Single Audit threshold </w:t>
      </w:r>
    </w:p>
    <w:p w14:paraId="2790B4B9" w14:textId="77777777" w:rsidR="000505AA" w:rsidRPr="000505AA" w:rsidRDefault="000505AA" w:rsidP="00894EC0">
      <w:pPr>
        <w:widowControl/>
        <w:numPr>
          <w:ilvl w:val="0"/>
          <w:numId w:val="74"/>
        </w:numPr>
        <w:autoSpaceDE/>
        <w:autoSpaceDN/>
        <w:ind w:left="1080" w:firstLine="0"/>
        <w:textAlignment w:val="baseline"/>
        <w:rPr>
          <w:rFonts w:eastAsia="Times New Roman"/>
        </w:rPr>
      </w:pPr>
      <w:r w:rsidRPr="000505AA">
        <w:rPr>
          <w:rFonts w:eastAsia="Times New Roman"/>
        </w:rPr>
        <w:t>2 CFR §200.511 – Management decision </w:t>
      </w:r>
    </w:p>
    <w:p w14:paraId="7571DE64" w14:textId="77777777" w:rsidR="000505AA" w:rsidRPr="000505AA" w:rsidRDefault="000505AA" w:rsidP="00894EC0">
      <w:pPr>
        <w:widowControl/>
        <w:numPr>
          <w:ilvl w:val="0"/>
          <w:numId w:val="75"/>
        </w:numPr>
        <w:autoSpaceDE/>
        <w:autoSpaceDN/>
        <w:ind w:left="1080" w:firstLine="0"/>
        <w:textAlignment w:val="baseline"/>
        <w:rPr>
          <w:rFonts w:eastAsia="Times New Roman"/>
        </w:rPr>
      </w:pPr>
      <w:r w:rsidRPr="000505AA">
        <w:rPr>
          <w:rFonts w:eastAsia="Times New Roman"/>
        </w:rPr>
        <w:t>2 CFR §200.344 – Closeout </w:t>
      </w:r>
    </w:p>
    <w:p w14:paraId="2C6DA395" w14:textId="77777777" w:rsidR="000505AA" w:rsidRPr="000505AA" w:rsidRDefault="000505AA" w:rsidP="00894EC0">
      <w:pPr>
        <w:widowControl/>
        <w:numPr>
          <w:ilvl w:val="0"/>
          <w:numId w:val="76"/>
        </w:numPr>
        <w:autoSpaceDE/>
        <w:autoSpaceDN/>
        <w:ind w:left="1080" w:firstLine="0"/>
        <w:textAlignment w:val="baseline"/>
        <w:rPr>
          <w:rFonts w:eastAsia="Times New Roman"/>
        </w:rPr>
      </w:pPr>
      <w:r w:rsidRPr="000505AA">
        <w:rPr>
          <w:rFonts w:eastAsia="Times New Roman"/>
        </w:rPr>
        <w:lastRenderedPageBreak/>
        <w:t>2 CFR §200.334 – Record retention </w:t>
      </w:r>
    </w:p>
    <w:p w14:paraId="05294B59" w14:textId="77777777" w:rsidR="000505AA" w:rsidRPr="000505AA" w:rsidRDefault="000505AA" w:rsidP="00894EC0">
      <w:pPr>
        <w:widowControl/>
        <w:numPr>
          <w:ilvl w:val="0"/>
          <w:numId w:val="77"/>
        </w:numPr>
        <w:autoSpaceDE/>
        <w:autoSpaceDN/>
        <w:ind w:left="1080" w:firstLine="0"/>
        <w:textAlignment w:val="baseline"/>
        <w:rPr>
          <w:rFonts w:eastAsia="Times New Roman"/>
        </w:rPr>
      </w:pPr>
      <w:r w:rsidRPr="000505AA">
        <w:rPr>
          <w:rFonts w:eastAsia="Times New Roman"/>
        </w:rPr>
        <w:t>2 CFR §200.345 – Collection of amounts due </w:t>
      </w:r>
    </w:p>
    <w:p w14:paraId="1C3C3BFF"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u w:val="single"/>
        </w:rPr>
        <w:t>New Mexico Authorities</w:t>
      </w:r>
      <w:r w:rsidRPr="000505AA">
        <w:rPr>
          <w:rFonts w:eastAsia="Times New Roman"/>
        </w:rPr>
        <w:t> </w:t>
      </w:r>
    </w:p>
    <w:p w14:paraId="4DD674FC" w14:textId="77777777" w:rsidR="000505AA" w:rsidRPr="000505AA" w:rsidRDefault="000505AA" w:rsidP="00894EC0">
      <w:pPr>
        <w:widowControl/>
        <w:numPr>
          <w:ilvl w:val="0"/>
          <w:numId w:val="78"/>
        </w:numPr>
        <w:autoSpaceDE/>
        <w:autoSpaceDN/>
        <w:ind w:left="1080" w:firstLine="0"/>
        <w:textAlignment w:val="baseline"/>
        <w:rPr>
          <w:rFonts w:eastAsia="Times New Roman"/>
        </w:rPr>
      </w:pPr>
      <w:r w:rsidRPr="000505AA">
        <w:rPr>
          <w:rFonts w:eastAsia="Times New Roman"/>
        </w:rPr>
        <w:t>State Audit Act </w:t>
      </w:r>
    </w:p>
    <w:p w14:paraId="3752CF19" w14:textId="77777777" w:rsidR="000505AA" w:rsidRPr="000505AA" w:rsidRDefault="000505AA" w:rsidP="00894EC0">
      <w:pPr>
        <w:widowControl/>
        <w:numPr>
          <w:ilvl w:val="0"/>
          <w:numId w:val="79"/>
        </w:numPr>
        <w:autoSpaceDE/>
        <w:autoSpaceDN/>
        <w:ind w:left="1080" w:firstLine="0"/>
        <w:textAlignment w:val="baseline"/>
        <w:rPr>
          <w:rFonts w:eastAsia="Times New Roman"/>
        </w:rPr>
      </w:pPr>
      <w:r w:rsidRPr="000505AA">
        <w:rPr>
          <w:rFonts w:eastAsia="Times New Roman"/>
        </w:rPr>
        <w:t>Public Records Act, §§14-2-1 et seq. NMSA </w:t>
      </w:r>
    </w:p>
    <w:p w14:paraId="7EDFCCF7" w14:textId="77777777" w:rsidR="000505AA" w:rsidRPr="000505AA" w:rsidRDefault="000505AA" w:rsidP="00894EC0">
      <w:pPr>
        <w:widowControl/>
        <w:numPr>
          <w:ilvl w:val="0"/>
          <w:numId w:val="80"/>
        </w:numPr>
        <w:autoSpaceDE/>
        <w:autoSpaceDN/>
        <w:ind w:left="1080" w:firstLine="0"/>
        <w:textAlignment w:val="baseline"/>
        <w:rPr>
          <w:rFonts w:eastAsia="Times New Roman"/>
        </w:rPr>
      </w:pPr>
      <w:r w:rsidRPr="000505AA">
        <w:rPr>
          <w:rFonts w:eastAsia="Times New Roman"/>
        </w:rPr>
        <w:t>State records retention schedules </w:t>
      </w:r>
    </w:p>
    <w:p w14:paraId="6AC72C98" w14:textId="77777777" w:rsidR="000505AA" w:rsidRPr="000505AA" w:rsidRDefault="000505AA" w:rsidP="00894EC0">
      <w:pPr>
        <w:widowControl/>
        <w:numPr>
          <w:ilvl w:val="0"/>
          <w:numId w:val="81"/>
        </w:numPr>
        <w:autoSpaceDE/>
        <w:autoSpaceDN/>
        <w:ind w:left="1080" w:firstLine="0"/>
        <w:textAlignment w:val="baseline"/>
        <w:rPr>
          <w:rFonts w:eastAsia="Times New Roman"/>
        </w:rPr>
      </w:pPr>
      <w:r w:rsidRPr="000505AA">
        <w:rPr>
          <w:rFonts w:eastAsia="Times New Roman"/>
        </w:rPr>
        <w:t>DFA reconciliation procedures </w:t>
      </w:r>
    </w:p>
    <w:p w14:paraId="7606AFA3"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t> </w:t>
      </w:r>
    </w:p>
    <w:p w14:paraId="798CFA1F"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b/>
          <w:bCs/>
        </w:rPr>
        <w:t>COMPLIANCE PRINCIPLE</w:t>
      </w:r>
      <w:r w:rsidRPr="000505AA">
        <w:rPr>
          <w:rFonts w:eastAsia="Times New Roman"/>
        </w:rPr>
        <w:t> </w:t>
      </w:r>
    </w:p>
    <w:p w14:paraId="3064657C" w14:textId="77777777" w:rsidR="000505AA" w:rsidRPr="000505AA" w:rsidRDefault="000505AA" w:rsidP="000505AA">
      <w:pPr>
        <w:widowControl/>
        <w:autoSpaceDE/>
        <w:autoSpaceDN/>
        <w:ind w:left="495" w:hanging="420"/>
        <w:textAlignment w:val="baseline"/>
        <w:rPr>
          <w:rFonts w:ascii="Segoe UI" w:eastAsia="Times New Roman" w:hAnsi="Segoe UI" w:cs="Segoe UI"/>
          <w:sz w:val="18"/>
          <w:szCs w:val="18"/>
        </w:rPr>
      </w:pPr>
      <w:r w:rsidRPr="000505AA">
        <w:rPr>
          <w:rFonts w:eastAsia="Times New Roman"/>
        </w:rPr>
        <w:t>Where both federal and state rules apply: </w:t>
      </w:r>
    </w:p>
    <w:p w14:paraId="16960105" w14:textId="77777777" w:rsidR="000505AA" w:rsidRPr="000505AA" w:rsidRDefault="000505AA" w:rsidP="00894EC0">
      <w:pPr>
        <w:widowControl/>
        <w:numPr>
          <w:ilvl w:val="0"/>
          <w:numId w:val="82"/>
        </w:numPr>
        <w:autoSpaceDE/>
        <w:autoSpaceDN/>
        <w:ind w:left="1080" w:firstLine="0"/>
        <w:textAlignment w:val="baseline"/>
        <w:rPr>
          <w:rFonts w:eastAsia="Times New Roman"/>
        </w:rPr>
      </w:pPr>
      <w:r w:rsidRPr="000505AA">
        <w:rPr>
          <w:rFonts w:eastAsia="Times New Roman"/>
        </w:rPr>
        <w:t>Agencies must comply with </w:t>
      </w:r>
      <w:r w:rsidRPr="000505AA">
        <w:rPr>
          <w:rFonts w:eastAsia="Times New Roman"/>
          <w:b/>
          <w:bCs/>
        </w:rPr>
        <w:t>both</w:t>
      </w:r>
      <w:r w:rsidRPr="000505AA">
        <w:rPr>
          <w:rFonts w:eastAsia="Times New Roman"/>
        </w:rPr>
        <w:t> frameworks concurrently. </w:t>
      </w:r>
    </w:p>
    <w:p w14:paraId="13B1CE6C" w14:textId="77777777" w:rsidR="000505AA" w:rsidRPr="000505AA" w:rsidRDefault="000505AA" w:rsidP="00894EC0">
      <w:pPr>
        <w:widowControl/>
        <w:numPr>
          <w:ilvl w:val="0"/>
          <w:numId w:val="83"/>
        </w:numPr>
        <w:autoSpaceDE/>
        <w:autoSpaceDN/>
        <w:ind w:left="1080" w:firstLine="0"/>
        <w:textAlignment w:val="baseline"/>
        <w:rPr>
          <w:rFonts w:eastAsia="Times New Roman"/>
        </w:rPr>
      </w:pPr>
      <w:r w:rsidRPr="000505AA">
        <w:rPr>
          <w:rFonts w:eastAsia="Times New Roman"/>
        </w:rPr>
        <w:t>If requirements differ, agencies must apply the </w:t>
      </w:r>
      <w:r w:rsidRPr="000505AA">
        <w:rPr>
          <w:rFonts w:eastAsia="Times New Roman"/>
          <w:b/>
          <w:bCs/>
        </w:rPr>
        <w:t>more restrictive provision</w:t>
      </w:r>
      <w:r w:rsidRPr="000505AA">
        <w:rPr>
          <w:rFonts w:eastAsia="Times New Roman"/>
        </w:rPr>
        <w:t>, unless federal preemption applies. </w:t>
      </w:r>
    </w:p>
    <w:p w14:paraId="2748C227" w14:textId="77777777" w:rsidR="000505AA" w:rsidRPr="000505AA" w:rsidRDefault="000505AA" w:rsidP="000505AA">
      <w:pPr>
        <w:widowControl/>
        <w:autoSpaceDE/>
        <w:autoSpaceDN/>
        <w:ind w:left="720"/>
        <w:textAlignment w:val="baseline"/>
        <w:rPr>
          <w:rFonts w:ascii="Segoe UI" w:eastAsia="Times New Roman" w:hAnsi="Segoe UI" w:cs="Segoe UI"/>
          <w:sz w:val="18"/>
          <w:szCs w:val="18"/>
        </w:rPr>
      </w:pPr>
      <w:r w:rsidRPr="000505AA">
        <w:rPr>
          <w:rFonts w:eastAsia="Times New Roman"/>
        </w:rPr>
        <w:t> </w:t>
      </w:r>
    </w:p>
    <w:p w14:paraId="2D4D1F7F" w14:textId="77777777" w:rsidR="000505AA" w:rsidRPr="000505AA" w:rsidRDefault="000505AA" w:rsidP="00894EC0">
      <w:pPr>
        <w:widowControl/>
        <w:numPr>
          <w:ilvl w:val="0"/>
          <w:numId w:val="84"/>
        </w:numPr>
        <w:autoSpaceDE/>
        <w:autoSpaceDN/>
        <w:ind w:left="1080" w:firstLine="0"/>
        <w:textAlignment w:val="baseline"/>
        <w:rPr>
          <w:rFonts w:eastAsia="Times New Roman"/>
        </w:rPr>
      </w:pPr>
      <w:r w:rsidRPr="000505AA">
        <w:rPr>
          <w:rFonts w:eastAsia="Times New Roman"/>
        </w:rPr>
        <w:t>All grant administration must be documented in a manner sufficient to satisfy: </w:t>
      </w:r>
    </w:p>
    <w:p w14:paraId="02BE1000" w14:textId="77777777" w:rsidR="000505AA" w:rsidRPr="000505AA" w:rsidRDefault="000505AA" w:rsidP="00894EC0">
      <w:pPr>
        <w:widowControl/>
        <w:numPr>
          <w:ilvl w:val="0"/>
          <w:numId w:val="85"/>
        </w:numPr>
        <w:autoSpaceDE/>
        <w:autoSpaceDN/>
        <w:ind w:left="1800" w:firstLine="0"/>
        <w:textAlignment w:val="baseline"/>
        <w:rPr>
          <w:rFonts w:eastAsia="Times New Roman"/>
        </w:rPr>
      </w:pPr>
      <w:r w:rsidRPr="000505AA">
        <w:rPr>
          <w:rFonts w:eastAsia="Times New Roman"/>
        </w:rPr>
        <w:t>Federal Single Audit standards </w:t>
      </w:r>
    </w:p>
    <w:p w14:paraId="507880B4" w14:textId="77777777" w:rsidR="000505AA" w:rsidRPr="000505AA" w:rsidRDefault="000505AA" w:rsidP="00894EC0">
      <w:pPr>
        <w:widowControl/>
        <w:numPr>
          <w:ilvl w:val="0"/>
          <w:numId w:val="86"/>
        </w:numPr>
        <w:autoSpaceDE/>
        <w:autoSpaceDN/>
        <w:ind w:left="1800" w:firstLine="0"/>
        <w:textAlignment w:val="baseline"/>
        <w:rPr>
          <w:rFonts w:eastAsia="Times New Roman"/>
        </w:rPr>
      </w:pPr>
      <w:r w:rsidRPr="000505AA">
        <w:rPr>
          <w:rFonts w:eastAsia="Times New Roman"/>
        </w:rPr>
        <w:t>State annual financial audit requirements </w:t>
      </w:r>
    </w:p>
    <w:p w14:paraId="39EE55C8" w14:textId="77777777" w:rsidR="000505AA" w:rsidRPr="000505AA" w:rsidRDefault="000505AA" w:rsidP="00894EC0">
      <w:pPr>
        <w:widowControl/>
        <w:numPr>
          <w:ilvl w:val="0"/>
          <w:numId w:val="87"/>
        </w:numPr>
        <w:autoSpaceDE/>
        <w:autoSpaceDN/>
        <w:ind w:left="1800" w:firstLine="0"/>
        <w:textAlignment w:val="baseline"/>
        <w:rPr>
          <w:rFonts w:eastAsia="Times New Roman"/>
        </w:rPr>
      </w:pPr>
      <w:r w:rsidRPr="000505AA">
        <w:rPr>
          <w:rFonts w:eastAsia="Times New Roman"/>
        </w:rPr>
        <w:t>NM MAPS internal control documentation expectations </w:t>
      </w:r>
    </w:p>
    <w:p w14:paraId="075DA2B7" w14:textId="77777777" w:rsidR="000505AA" w:rsidRPr="000505AA" w:rsidRDefault="000505AA" w:rsidP="000505AA">
      <w:pPr>
        <w:widowControl/>
        <w:autoSpaceDE/>
        <w:autoSpaceDN/>
        <w:textAlignment w:val="baseline"/>
        <w:rPr>
          <w:rFonts w:ascii="Segoe UI" w:eastAsia="Times New Roman" w:hAnsi="Segoe UI" w:cs="Segoe UI"/>
          <w:sz w:val="18"/>
          <w:szCs w:val="18"/>
        </w:rPr>
      </w:pPr>
      <w:r w:rsidRPr="000505AA">
        <w:rPr>
          <w:rFonts w:eastAsia="Times New Roman"/>
          <w:sz w:val="20"/>
          <w:szCs w:val="20"/>
        </w:rPr>
        <w:t> </w:t>
      </w:r>
    </w:p>
    <w:p w14:paraId="1CDDEE8A" w14:textId="7CFAC8EB" w:rsidR="006C7E4C" w:rsidRDefault="006C7E4C">
      <w:pPr>
        <w:rPr>
          <w:sz w:val="20"/>
        </w:rPr>
      </w:pPr>
      <w:r>
        <w:rPr>
          <w:sz w:val="20"/>
        </w:rPr>
        <w:br w:type="page"/>
      </w:r>
    </w:p>
    <w:p w14:paraId="3710D0EF" w14:textId="3326CACB" w:rsidR="00325498" w:rsidRDefault="004D30ED" w:rsidP="004D30ED">
      <w:pPr>
        <w:pStyle w:val="Heading1"/>
        <w:jc w:val="center"/>
      </w:pPr>
      <w:bookmarkStart w:id="30" w:name="_Toc225934272"/>
      <w:r w:rsidRPr="000505AA">
        <w:lastRenderedPageBreak/>
        <w:t xml:space="preserve">APPENDIX </w:t>
      </w:r>
      <w:r>
        <w:t>B</w:t>
      </w:r>
      <w:r w:rsidRPr="000505AA">
        <w:t> </w:t>
      </w:r>
      <w:r w:rsidR="008D0556">
        <w:t xml:space="preserve">- </w:t>
      </w:r>
      <w:r w:rsidR="008D0556" w:rsidRPr="000505AA">
        <w:t>LINKS</w:t>
      </w:r>
      <w:r w:rsidR="00275BF7">
        <w:t xml:space="preserve"> AND RESOURCES</w:t>
      </w:r>
      <w:bookmarkEnd w:id="30"/>
      <w:r w:rsidR="00325498">
        <w:t xml:space="preserve"> </w:t>
      </w:r>
    </w:p>
    <w:p w14:paraId="6C649105" w14:textId="66BEA8FD" w:rsidR="00520796" w:rsidRDefault="00FE674C">
      <w:r>
        <w:t xml:space="preserve">The following resources can be downloaded from </w:t>
      </w:r>
      <w:hyperlink r:id="rId18" w:history="1">
        <w:r w:rsidR="00C5233B" w:rsidRPr="00C5233B">
          <w:rPr>
            <w:rStyle w:val="Hyperlink"/>
          </w:rPr>
          <w:t>Federal Grants Bureau TOOLS AND RESOURCES</w:t>
        </w:r>
      </w:hyperlink>
    </w:p>
    <w:tbl>
      <w:tblPr>
        <w:tblStyle w:val="TableGrid"/>
        <w:tblW w:w="0" w:type="auto"/>
        <w:tblLook w:val="04A0" w:firstRow="1" w:lastRow="0" w:firstColumn="1" w:lastColumn="0" w:noHBand="0" w:noVBand="1"/>
      </w:tblPr>
      <w:tblGrid>
        <w:gridCol w:w="3325"/>
        <w:gridCol w:w="6745"/>
      </w:tblGrid>
      <w:tr w:rsidR="0058186F" w14:paraId="60A966BD" w14:textId="77777777" w:rsidTr="00D57251">
        <w:tc>
          <w:tcPr>
            <w:tcW w:w="3325" w:type="dxa"/>
            <w:shd w:val="clear" w:color="auto" w:fill="004D4C"/>
          </w:tcPr>
          <w:p w14:paraId="7C64F892" w14:textId="70FAE6B3" w:rsidR="0058186F" w:rsidRPr="00C26504" w:rsidRDefault="0058186F">
            <w:pPr>
              <w:rPr>
                <w:b/>
                <w:bCs/>
                <w:sz w:val="32"/>
                <w:szCs w:val="32"/>
              </w:rPr>
            </w:pPr>
            <w:r w:rsidRPr="00C26504">
              <w:rPr>
                <w:b/>
                <w:bCs/>
                <w:sz w:val="32"/>
                <w:szCs w:val="32"/>
              </w:rPr>
              <w:t>RESOURCE</w:t>
            </w:r>
          </w:p>
        </w:tc>
        <w:tc>
          <w:tcPr>
            <w:tcW w:w="6745" w:type="dxa"/>
            <w:shd w:val="clear" w:color="auto" w:fill="004D4C"/>
          </w:tcPr>
          <w:p w14:paraId="48A0ECCE" w14:textId="7C120A95" w:rsidR="0058186F" w:rsidRPr="00C26504" w:rsidRDefault="00C5233B">
            <w:pPr>
              <w:rPr>
                <w:b/>
                <w:bCs/>
                <w:sz w:val="32"/>
                <w:szCs w:val="32"/>
              </w:rPr>
            </w:pPr>
            <w:r w:rsidRPr="00C26504">
              <w:rPr>
                <w:b/>
                <w:bCs/>
                <w:sz w:val="32"/>
                <w:szCs w:val="32"/>
              </w:rPr>
              <w:t>DESCRIPTION</w:t>
            </w:r>
          </w:p>
        </w:tc>
      </w:tr>
      <w:tr w:rsidR="007008CE" w14:paraId="53F2F4DB" w14:textId="77777777" w:rsidTr="00D57251">
        <w:tc>
          <w:tcPr>
            <w:tcW w:w="3325" w:type="dxa"/>
          </w:tcPr>
          <w:p w14:paraId="53379A1F" w14:textId="0757D7F8" w:rsidR="007008CE" w:rsidRDefault="007008CE" w:rsidP="007008CE">
            <w:r w:rsidRPr="00BE2B54">
              <w:t>DFA Grants Management Readiness Assessment</w:t>
            </w:r>
          </w:p>
        </w:tc>
        <w:tc>
          <w:tcPr>
            <w:tcW w:w="6745" w:type="dxa"/>
          </w:tcPr>
          <w:p w14:paraId="172079F2" w14:textId="0FE778BB" w:rsidR="007008CE" w:rsidRDefault="00E9400B" w:rsidP="00E8533F">
            <w:r w:rsidRPr="00E9400B">
              <w:t>The NM Grant Readiness Assessment is a flexible tool that helps agencies and subgrantees evaluate their capacity to manage grants effectively. It can be completed by individual staff members or collectively as a team. The Assessment identifies areas where additional support or training may need to be provided or in the case of subgrantee, special conditions added to their grant agreements.</w:t>
            </w:r>
          </w:p>
        </w:tc>
      </w:tr>
      <w:tr w:rsidR="002B6E72" w14:paraId="79ED7D64" w14:textId="77777777" w:rsidTr="00D57251">
        <w:tc>
          <w:tcPr>
            <w:tcW w:w="3325" w:type="dxa"/>
          </w:tcPr>
          <w:p w14:paraId="705B9BA2" w14:textId="6FE7B21F" w:rsidR="002B6E72" w:rsidRDefault="007008CE">
            <w:r>
              <w:t xml:space="preserve">Hot to Set Up a Unique Entity Identifier </w:t>
            </w:r>
          </w:p>
        </w:tc>
        <w:tc>
          <w:tcPr>
            <w:tcW w:w="6745" w:type="dxa"/>
          </w:tcPr>
          <w:p w14:paraId="056E7790" w14:textId="34ED0AE3" w:rsidR="002B6E72" w:rsidRDefault="00FF1C85">
            <w:r w:rsidRPr="00FF1C85">
              <w:t>Registering on SAM.gov is mandatory to do business with the U.S. federal government, allowing entities to bid on contracts, apply for federal assistance (grants/loans), and receive payments.</w:t>
            </w:r>
            <w:r w:rsidR="00B16ACA">
              <w:t xml:space="preserve"> As part of registration, you will be assigned a Unique Entity Identifier (UEI).</w:t>
            </w:r>
          </w:p>
        </w:tc>
      </w:tr>
      <w:tr w:rsidR="007008CE" w14:paraId="7CEE3B0B" w14:textId="77777777" w:rsidTr="00D57251">
        <w:tc>
          <w:tcPr>
            <w:tcW w:w="3325" w:type="dxa"/>
          </w:tcPr>
          <w:p w14:paraId="629D3F74" w14:textId="4183F8F7" w:rsidR="007008CE" w:rsidRDefault="007008CE">
            <w:r>
              <w:t>Grant File Folder Structure Instructions</w:t>
            </w:r>
          </w:p>
        </w:tc>
        <w:tc>
          <w:tcPr>
            <w:tcW w:w="6745" w:type="dxa"/>
          </w:tcPr>
          <w:p w14:paraId="45984079" w14:textId="359731D5" w:rsidR="007008CE" w:rsidRDefault="00450980">
            <w:r>
              <w:t>File management to support the full grant lifecycle.</w:t>
            </w:r>
          </w:p>
        </w:tc>
      </w:tr>
      <w:tr w:rsidR="001E14E0" w14:paraId="4E5394E1" w14:textId="77777777" w:rsidTr="00D57251">
        <w:tc>
          <w:tcPr>
            <w:tcW w:w="3325" w:type="dxa"/>
          </w:tcPr>
          <w:p w14:paraId="7A3E2ABD" w14:textId="370C0066" w:rsidR="001E14E0" w:rsidRDefault="001E14E0">
            <w:r w:rsidRPr="001E14E0">
              <w:t>SPOC Intergovernmental Review Checklist</w:t>
            </w:r>
          </w:p>
        </w:tc>
        <w:tc>
          <w:tcPr>
            <w:tcW w:w="6745" w:type="dxa"/>
          </w:tcPr>
          <w:p w14:paraId="3DFA81D5" w14:textId="1F22C402" w:rsidR="001E14E0" w:rsidRDefault="00AF0A31">
            <w:r>
              <w:t>The checklist used to review applications for federal funding under E.O. 12372, Single Point of Contact</w:t>
            </w:r>
            <w:r w:rsidR="00F1324E">
              <w:t>/Intergovernmental Review.</w:t>
            </w:r>
            <w:r>
              <w:t xml:space="preserve"> </w:t>
            </w:r>
          </w:p>
        </w:tc>
      </w:tr>
      <w:tr w:rsidR="007008CE" w14:paraId="2D5288E7" w14:textId="77777777" w:rsidTr="00D57251">
        <w:tc>
          <w:tcPr>
            <w:tcW w:w="3325" w:type="dxa"/>
          </w:tcPr>
          <w:p w14:paraId="6B52445D" w14:textId="0475DA19" w:rsidR="007008CE" w:rsidRDefault="007008CE">
            <w:r>
              <w:t>DFA Modified Total Direct Cost Indirect Cost Worksheet</w:t>
            </w:r>
          </w:p>
        </w:tc>
        <w:tc>
          <w:tcPr>
            <w:tcW w:w="6745" w:type="dxa"/>
          </w:tcPr>
          <w:p w14:paraId="4E159719" w14:textId="528EAA4F" w:rsidR="007008CE" w:rsidRDefault="00BE7BE3">
            <w:r>
              <w:t xml:space="preserve">This worksheet </w:t>
            </w:r>
            <w:r w:rsidR="00E8533F" w:rsidRPr="00E8533F">
              <w:t>calculates the indirect costs that an organization is allowed to charge to a grant or contract, based on a federally negotiated indirect cost rate applied to a specific base of "modified" direct costs — not all direct costs.</w:t>
            </w:r>
          </w:p>
        </w:tc>
      </w:tr>
      <w:tr w:rsidR="002B6E72" w14:paraId="0DDEC138" w14:textId="77777777" w:rsidTr="00D57251">
        <w:tc>
          <w:tcPr>
            <w:tcW w:w="3325" w:type="dxa"/>
          </w:tcPr>
          <w:p w14:paraId="53AEFA50" w14:textId="43D91C11" w:rsidR="002B6E72" w:rsidRDefault="002B6E72">
            <w:r>
              <w:t>Grant Summary Fillable</w:t>
            </w:r>
          </w:p>
        </w:tc>
        <w:tc>
          <w:tcPr>
            <w:tcW w:w="6745" w:type="dxa"/>
          </w:tcPr>
          <w:p w14:paraId="7AC5B5DC" w14:textId="799D8713" w:rsidR="002B6E72" w:rsidRDefault="00B26066">
            <w:r>
              <w:t>S</w:t>
            </w:r>
            <w:r w:rsidRPr="00B26066">
              <w:t>erves as a concise, centralized reference document that captures the essential details of a grant award or application.</w:t>
            </w:r>
          </w:p>
        </w:tc>
      </w:tr>
      <w:tr w:rsidR="0058186F" w14:paraId="7DC86543" w14:textId="77777777" w:rsidTr="00D57251">
        <w:tc>
          <w:tcPr>
            <w:tcW w:w="3325" w:type="dxa"/>
          </w:tcPr>
          <w:p w14:paraId="5DD73A93" w14:textId="57E9285B" w:rsidR="0058186F" w:rsidRDefault="001A7CBB">
            <w:r>
              <w:t>DFA Grant Summary Tool 2</w:t>
            </w:r>
          </w:p>
        </w:tc>
        <w:tc>
          <w:tcPr>
            <w:tcW w:w="6745" w:type="dxa"/>
          </w:tcPr>
          <w:p w14:paraId="24EEF20B" w14:textId="6F0F0549" w:rsidR="0058186F" w:rsidRDefault="00B26066">
            <w:r w:rsidRPr="00B26066">
              <w:t>Serves as a concise, centralized reference document that captures the essential details of a grant award or application.</w:t>
            </w:r>
          </w:p>
        </w:tc>
      </w:tr>
      <w:tr w:rsidR="0058186F" w14:paraId="57FC4048" w14:textId="77777777" w:rsidTr="00D57251">
        <w:tc>
          <w:tcPr>
            <w:tcW w:w="3325" w:type="dxa"/>
          </w:tcPr>
          <w:p w14:paraId="0BE1B04E" w14:textId="1B196DC9" w:rsidR="0058186F" w:rsidRDefault="009203F2">
            <w:r>
              <w:t>Match Cost Share Examples (Safe Streets and Roads for All)</w:t>
            </w:r>
          </w:p>
        </w:tc>
        <w:tc>
          <w:tcPr>
            <w:tcW w:w="6745" w:type="dxa"/>
          </w:tcPr>
          <w:p w14:paraId="6C3568A4" w14:textId="28DCF526" w:rsidR="0058186F" w:rsidRDefault="007F27D1">
            <w:r>
              <w:t>I</w:t>
            </w:r>
            <w:r w:rsidRPr="007F27D1">
              <w:t>llustrates how organizations can demonstrate and calculate the non-federal matching funds or in-kind contributions required as a condition of a federal grant award.</w:t>
            </w:r>
          </w:p>
        </w:tc>
      </w:tr>
      <w:tr w:rsidR="006A40BE" w14:paraId="5046D497" w14:textId="77777777" w:rsidTr="00D57251">
        <w:tc>
          <w:tcPr>
            <w:tcW w:w="3325" w:type="dxa"/>
          </w:tcPr>
          <w:p w14:paraId="2BFD76D5" w14:textId="63D7840A" w:rsidR="006A40BE" w:rsidRPr="006A40BE" w:rsidRDefault="00463F78">
            <w:r w:rsidRPr="00463F78">
              <w:t>Sample Project Budget Template</w:t>
            </w:r>
          </w:p>
        </w:tc>
        <w:tc>
          <w:tcPr>
            <w:tcW w:w="6745" w:type="dxa"/>
          </w:tcPr>
          <w:p w14:paraId="35C48C4A" w14:textId="6EFB9DC7" w:rsidR="006A40BE" w:rsidRDefault="00265805">
            <w:r>
              <w:t xml:space="preserve">This </w:t>
            </w:r>
            <w:r w:rsidR="00571350" w:rsidRPr="00571350">
              <w:t xml:space="preserve">tool </w:t>
            </w:r>
            <w:r>
              <w:t>calculates</w:t>
            </w:r>
            <w:r w:rsidR="00571350" w:rsidRPr="00571350">
              <w:t xml:space="preserve"> proposed project costs</w:t>
            </w:r>
            <w:r>
              <w:t xml:space="preserve"> </w:t>
            </w:r>
            <w:r w:rsidR="00571350" w:rsidRPr="00571350">
              <w:t>including direct costs, indirect costs, and match/cost share contributions — in a format that aligns with federal grant requirements and funder expectations.</w:t>
            </w:r>
          </w:p>
        </w:tc>
      </w:tr>
      <w:tr w:rsidR="00AD1CD7" w14:paraId="67E8788D" w14:textId="77777777" w:rsidTr="00D57251">
        <w:tc>
          <w:tcPr>
            <w:tcW w:w="3325" w:type="dxa"/>
          </w:tcPr>
          <w:p w14:paraId="36F7F1B4" w14:textId="0973C510" w:rsidR="00AD1CD7" w:rsidRPr="00FB0805" w:rsidRDefault="00AD1CD7">
            <w:r w:rsidRPr="00AD1CD7">
              <w:t>DFA Subrecipient vs. Contractor Checklist Tool</w:t>
            </w:r>
          </w:p>
        </w:tc>
        <w:tc>
          <w:tcPr>
            <w:tcW w:w="6745" w:type="dxa"/>
          </w:tcPr>
          <w:p w14:paraId="610069D2" w14:textId="46C5B588" w:rsidR="00AD1CD7" w:rsidRDefault="00B4104E">
            <w:r>
              <w:t>A</w:t>
            </w:r>
            <w:r w:rsidRPr="00B4104E">
              <w:t xml:space="preserve"> decision-making aid that helps </w:t>
            </w:r>
            <w:r w:rsidR="00601FF5">
              <w:t>recipients</w:t>
            </w:r>
            <w:r w:rsidRPr="00B4104E">
              <w:t xml:space="preserve"> determine whether an entity should be classified as a subrecipient or as a contractor</w:t>
            </w:r>
            <w:r w:rsidR="00601FF5">
              <w:t>.</w:t>
            </w:r>
          </w:p>
        </w:tc>
      </w:tr>
      <w:tr w:rsidR="002D38A4" w14:paraId="5A5425EA" w14:textId="77777777" w:rsidTr="00D57251">
        <w:tc>
          <w:tcPr>
            <w:tcW w:w="3325" w:type="dxa"/>
          </w:tcPr>
          <w:p w14:paraId="56AF3450" w14:textId="31671F23" w:rsidR="002D38A4" w:rsidRPr="00FB0805" w:rsidRDefault="002D38A4">
            <w:r w:rsidRPr="002D38A4">
              <w:t>Federal Subrecipient Risk Assessment Tool v3 Sample</w:t>
            </w:r>
          </w:p>
        </w:tc>
        <w:tc>
          <w:tcPr>
            <w:tcW w:w="6745" w:type="dxa"/>
          </w:tcPr>
          <w:p w14:paraId="1A76CAF0" w14:textId="0D322C43" w:rsidR="002D38A4" w:rsidRDefault="00BC1BF1">
            <w:r>
              <w:t>A</w:t>
            </w:r>
            <w:r w:rsidRPr="00BC1BF1">
              <w:t xml:space="preserve"> structured evaluation instrument used by pass-through entities to assess the financial, organizational, and compliance risk level of subrecipients before and during a federal grant award, helping </w:t>
            </w:r>
            <w:r w:rsidR="00F43A88">
              <w:t xml:space="preserve">grant </w:t>
            </w:r>
            <w:r w:rsidRPr="00BC1BF1">
              <w:t>administrators determine the appropriate level of monitoring and oversight required for each subrecipient.</w:t>
            </w:r>
          </w:p>
        </w:tc>
      </w:tr>
      <w:tr w:rsidR="00463F78" w14:paraId="63CBBCD8" w14:textId="77777777" w:rsidTr="00D57251">
        <w:tc>
          <w:tcPr>
            <w:tcW w:w="3325" w:type="dxa"/>
          </w:tcPr>
          <w:p w14:paraId="42AEF6F4" w14:textId="0D5DD976" w:rsidR="00463F78" w:rsidRPr="006A40BE" w:rsidRDefault="00FB0805">
            <w:r w:rsidRPr="00FB0805">
              <w:t>DFA Federal Award Subrecipient Loan Agreement Template</w:t>
            </w:r>
          </w:p>
        </w:tc>
        <w:tc>
          <w:tcPr>
            <w:tcW w:w="6745" w:type="dxa"/>
          </w:tcPr>
          <w:p w14:paraId="4D44CF26" w14:textId="049D2A4E" w:rsidR="00463F78" w:rsidRDefault="009A5ECB" w:rsidP="00815DCE">
            <w:r>
              <w:t xml:space="preserve">DFA created </w:t>
            </w:r>
            <w:r w:rsidR="00AF3359" w:rsidRPr="00AF3359">
              <w:t xml:space="preserve">document </w:t>
            </w:r>
            <w:r w:rsidR="00815DCE">
              <w:t xml:space="preserve"> where grantor loans grantee federal funds.</w:t>
            </w:r>
          </w:p>
        </w:tc>
      </w:tr>
      <w:tr w:rsidR="00463F78" w14:paraId="24E224B1" w14:textId="77777777" w:rsidTr="00D57251">
        <w:tc>
          <w:tcPr>
            <w:tcW w:w="3325" w:type="dxa"/>
          </w:tcPr>
          <w:p w14:paraId="29FEA921" w14:textId="7090CCD7" w:rsidR="00463F78" w:rsidRPr="00463F78" w:rsidRDefault="00AD1CD7">
            <w:r w:rsidRPr="00AD1CD7">
              <w:t>DFA Federal Subrecipient Agreement Template</w:t>
            </w:r>
          </w:p>
        </w:tc>
        <w:tc>
          <w:tcPr>
            <w:tcW w:w="6745" w:type="dxa"/>
          </w:tcPr>
          <w:p w14:paraId="29AB1F72" w14:textId="7ADB8D34" w:rsidR="00463F78" w:rsidRDefault="009A5ECB">
            <w:r w:rsidRPr="009A5ECB">
              <w:t>DFA created document that establishes the terms, conditions, and compliance obligations governing the transfer of federal grant funds from a pass-through entity to a subrecipient, ensuring both parties understand their respective responsibilities for proper use, reporting, and accountability of the awarded funds.</w:t>
            </w:r>
          </w:p>
        </w:tc>
      </w:tr>
      <w:tr w:rsidR="00F15285" w14:paraId="07E52400" w14:textId="77777777" w:rsidTr="00D57251">
        <w:tc>
          <w:tcPr>
            <w:tcW w:w="3325" w:type="dxa"/>
          </w:tcPr>
          <w:p w14:paraId="50BF19E1" w14:textId="3AE0E9BE" w:rsidR="00F15285" w:rsidRPr="00AD1CD7" w:rsidRDefault="00F15285">
            <w:r w:rsidRPr="00F15285">
              <w:t>Federal Subrecipient Compliance Plan Sample</w:t>
            </w:r>
          </w:p>
        </w:tc>
        <w:tc>
          <w:tcPr>
            <w:tcW w:w="6745" w:type="dxa"/>
          </w:tcPr>
          <w:p w14:paraId="4E50AC0C" w14:textId="683CF35D" w:rsidR="00F15285" w:rsidRDefault="00A67E95">
            <w:r w:rsidRPr="00A67E95">
              <w:t xml:space="preserve">The Federal Subrecipient Compliance Plan Sample is a structured template that guides subrecipients in documenting their policies, procedures, and internal controls for meeting federal grant compliance </w:t>
            </w:r>
            <w:r w:rsidRPr="00A67E95">
              <w:lastRenderedPageBreak/>
              <w:t>requirements, helping ensure that awarded funds are managed, reported, and expended in accordance with applicable federal regulations and the terms of their award.</w:t>
            </w:r>
          </w:p>
        </w:tc>
      </w:tr>
      <w:tr w:rsidR="00463F78" w14:paraId="17E544C3" w14:textId="77777777" w:rsidTr="00D57251">
        <w:tc>
          <w:tcPr>
            <w:tcW w:w="3325" w:type="dxa"/>
          </w:tcPr>
          <w:p w14:paraId="2FC889C7" w14:textId="3C4A5248" w:rsidR="00463F78" w:rsidRPr="00463F78" w:rsidRDefault="00AD1CD7">
            <w:r w:rsidRPr="00AD1CD7">
              <w:lastRenderedPageBreak/>
              <w:t>DFA Subrecipient Monitoring Checklist</w:t>
            </w:r>
          </w:p>
        </w:tc>
        <w:tc>
          <w:tcPr>
            <w:tcW w:w="6745" w:type="dxa"/>
          </w:tcPr>
          <w:p w14:paraId="3B5A7272" w14:textId="63E1CD87" w:rsidR="00463F78" w:rsidRDefault="00807377">
            <w:r w:rsidRPr="00807377">
              <w:t xml:space="preserve">This checklist provides a comprehensive framework to ensure all necessary components of subrecipient monitoring are reviewed and tracked. </w:t>
            </w:r>
          </w:p>
        </w:tc>
      </w:tr>
      <w:tr w:rsidR="005154D2" w14:paraId="4870B72B" w14:textId="77777777" w:rsidTr="00D57251">
        <w:tc>
          <w:tcPr>
            <w:tcW w:w="3325" w:type="dxa"/>
          </w:tcPr>
          <w:p w14:paraId="13B123CD" w14:textId="5C2DAD4F" w:rsidR="005154D2" w:rsidRPr="005154D2" w:rsidRDefault="000878D2">
            <w:r w:rsidRPr="000878D2">
              <w:t>DFA Federal Grant Budget Actuals Tracking Template</w:t>
            </w:r>
          </w:p>
        </w:tc>
        <w:tc>
          <w:tcPr>
            <w:tcW w:w="6745" w:type="dxa"/>
          </w:tcPr>
          <w:p w14:paraId="0DB734C9" w14:textId="0FF87FD1" w:rsidR="005154D2" w:rsidRDefault="00670CDD">
            <w:r>
              <w:t xml:space="preserve">This </w:t>
            </w:r>
            <w:r w:rsidRPr="00670CDD">
              <w:t>tool enables grant administrators to monitor and compare approved budget amounts against actual expenditures in real time</w:t>
            </w:r>
            <w:r w:rsidR="00C400FD">
              <w:t>.</w:t>
            </w:r>
          </w:p>
        </w:tc>
      </w:tr>
      <w:tr w:rsidR="000878D2" w14:paraId="667DD2D0" w14:textId="77777777" w:rsidTr="00D57251">
        <w:tc>
          <w:tcPr>
            <w:tcW w:w="3325" w:type="dxa"/>
          </w:tcPr>
          <w:p w14:paraId="772ECDDD" w14:textId="7E63AA56" w:rsidR="000878D2" w:rsidRPr="000878D2" w:rsidRDefault="000878D2">
            <w:r w:rsidRPr="000878D2">
              <w:t>DFA Corrective Action Plan Template</w:t>
            </w:r>
          </w:p>
        </w:tc>
        <w:tc>
          <w:tcPr>
            <w:tcW w:w="6745" w:type="dxa"/>
          </w:tcPr>
          <w:p w14:paraId="599C9144" w14:textId="5B913FB8" w:rsidR="000878D2" w:rsidRDefault="001F6713">
            <w:r>
              <w:t xml:space="preserve">This tool can be provided to </w:t>
            </w:r>
            <w:r w:rsidR="008C4ADD">
              <w:t>contractors and subrecipients t</w:t>
            </w:r>
            <w:r w:rsidRPr="001F6713">
              <w:t>o formally identify, address, and resolve compliance deficiencies or audit findings.</w:t>
            </w:r>
          </w:p>
        </w:tc>
      </w:tr>
      <w:tr w:rsidR="000878D2" w14:paraId="13AB85C0" w14:textId="77777777" w:rsidTr="00D57251">
        <w:tc>
          <w:tcPr>
            <w:tcW w:w="3325" w:type="dxa"/>
          </w:tcPr>
          <w:p w14:paraId="03A0391B" w14:textId="78B9BDB9" w:rsidR="000878D2" w:rsidRPr="000878D2" w:rsidRDefault="005104F3">
            <w:r w:rsidRPr="005104F3">
              <w:t>SF425-Federal Reporting</w:t>
            </w:r>
            <w:r>
              <w:t xml:space="preserve"> </w:t>
            </w:r>
            <w:r w:rsidRPr="005104F3">
              <w:t>Blank Form</w:t>
            </w:r>
          </w:p>
        </w:tc>
        <w:tc>
          <w:tcPr>
            <w:tcW w:w="6745" w:type="dxa"/>
          </w:tcPr>
          <w:p w14:paraId="34BB6201" w14:textId="136D82BD" w:rsidR="000878D2" w:rsidRDefault="00486593">
            <w:r>
              <w:t xml:space="preserve">The </w:t>
            </w:r>
            <w:r w:rsidRPr="00486593">
              <w:t>standardized federal form used by grant recipients to report on the financial status of a federal award</w:t>
            </w:r>
            <w:r w:rsidR="00BD1811">
              <w:t>.</w:t>
            </w:r>
          </w:p>
        </w:tc>
      </w:tr>
      <w:tr w:rsidR="00BD1811" w14:paraId="62A297D7" w14:textId="77777777" w:rsidTr="00D57251">
        <w:tc>
          <w:tcPr>
            <w:tcW w:w="3325" w:type="dxa"/>
          </w:tcPr>
          <w:p w14:paraId="69E90669" w14:textId="12F2A29E" w:rsidR="00BD1811" w:rsidRPr="005104F3" w:rsidRDefault="00BD1811">
            <w:hyperlink r:id="rId19" w:history="1">
              <w:r w:rsidRPr="00D27780">
                <w:rPr>
                  <w:rStyle w:val="Hyperlink"/>
                </w:rPr>
                <w:t>State of New Mexico Manual of Model Accounting Practices (MAP</w:t>
              </w:r>
              <w:r w:rsidR="001F251A" w:rsidRPr="00D27780">
                <w:rPr>
                  <w:rStyle w:val="Hyperlink"/>
                </w:rPr>
                <w:t>)</w:t>
              </w:r>
            </w:hyperlink>
          </w:p>
        </w:tc>
        <w:tc>
          <w:tcPr>
            <w:tcW w:w="6745" w:type="dxa"/>
          </w:tcPr>
          <w:p w14:paraId="2BA7E255" w14:textId="0B7DC396" w:rsidR="00BD1811" w:rsidRDefault="00D57251">
            <w:r w:rsidRPr="00D57251">
              <w:t>The State of New Mexico Manual of Model Accounting Practices (MAP) is a comprehensive reference guide that establishes standardized accounting policies, procedures, and internal control frameworks for state agencies to ensure consistent, transparent, and compliant financial management of public funds across New Mexico government operations.</w:t>
            </w:r>
          </w:p>
        </w:tc>
      </w:tr>
    </w:tbl>
    <w:p w14:paraId="3BFAD589" w14:textId="379F1139" w:rsidR="004D6A90" w:rsidRDefault="004D6A90">
      <w:pPr>
        <w:rPr>
          <w:b/>
          <w:bCs/>
          <w:sz w:val="32"/>
          <w:szCs w:val="32"/>
        </w:rPr>
      </w:pPr>
      <w:r>
        <w:br w:type="page"/>
      </w:r>
    </w:p>
    <w:p w14:paraId="3008C7F5" w14:textId="162FC429" w:rsidR="009B7136" w:rsidRPr="00275BF7" w:rsidRDefault="004D6A90" w:rsidP="00275BF7">
      <w:pPr>
        <w:pStyle w:val="Heading1"/>
        <w:rPr>
          <w:smallCaps/>
        </w:rPr>
      </w:pPr>
      <w:bookmarkStart w:id="31" w:name="_Toc225934273"/>
      <w:r w:rsidRPr="00275BF7">
        <w:rPr>
          <w:smallCaps/>
        </w:rPr>
        <w:lastRenderedPageBreak/>
        <w:t>Revision and Review Record</w:t>
      </w:r>
      <w:bookmarkEnd w:id="31"/>
    </w:p>
    <w:p w14:paraId="2B83FE7F" w14:textId="77777777" w:rsidR="004D6A90" w:rsidRDefault="004D6A90" w:rsidP="004D6A90">
      <w:pPr>
        <w:pStyle w:val="Heading1"/>
      </w:pPr>
    </w:p>
    <w:p w14:paraId="4F1F0175" w14:textId="6E3C0E46" w:rsidR="004D6A90" w:rsidRDefault="004D6A90" w:rsidP="004D6A90">
      <w:r>
        <w:t>Th</w:t>
      </w:r>
      <w:r w:rsidR="00D343C8">
        <w:t xml:space="preserve">e revision and </w:t>
      </w:r>
      <w:r w:rsidR="00C27223">
        <w:t>review</w:t>
      </w:r>
      <w:r w:rsidR="00D343C8">
        <w:t xml:space="preserve"> record tracks the published versions of the New Mexico Grants Management Guide. The intention is to provide of State of New Mexico with the most accurate and up to date resources.</w:t>
      </w:r>
    </w:p>
    <w:p w14:paraId="680D054A" w14:textId="77777777" w:rsidR="00D343C8" w:rsidRDefault="00D343C8" w:rsidP="004D6A90"/>
    <w:p w14:paraId="0F32F088" w14:textId="55F7B57A" w:rsidR="00D343C8" w:rsidRDefault="00D343C8" w:rsidP="004D6A90">
      <w:r>
        <w:t xml:space="preserve">Please contact the </w:t>
      </w:r>
      <w:r w:rsidR="004277E1">
        <w:t xml:space="preserve">Infrastructure and Planning Division’s </w:t>
      </w:r>
      <w:r>
        <w:t xml:space="preserve">Federal Grants Bureau of the Department of Finance and </w:t>
      </w:r>
      <w:r w:rsidR="00C27223">
        <w:t>Administration</w:t>
      </w:r>
      <w:r w:rsidR="00346489">
        <w:t xml:space="preserve"> at </w:t>
      </w:r>
      <w:hyperlink r:id="rId20" w:history="1">
        <w:r w:rsidR="00C27223" w:rsidRPr="009E54B8">
          <w:rPr>
            <w:rStyle w:val="Hyperlink"/>
          </w:rPr>
          <w:t>FederalGrant.Bureau@dfa.nm.gov</w:t>
        </w:r>
      </w:hyperlink>
      <w:r w:rsidR="00C27223">
        <w:t xml:space="preserve"> for any questions or concerns.</w:t>
      </w:r>
    </w:p>
    <w:p w14:paraId="43DE096D" w14:textId="77777777" w:rsidR="00C27223" w:rsidRDefault="00C27223" w:rsidP="004D6A90"/>
    <w:tbl>
      <w:tblPr>
        <w:tblStyle w:val="TableGrid"/>
        <w:tblW w:w="0" w:type="auto"/>
        <w:tblLook w:val="04A0" w:firstRow="1" w:lastRow="0" w:firstColumn="1" w:lastColumn="0" w:noHBand="0" w:noVBand="1"/>
      </w:tblPr>
      <w:tblGrid>
        <w:gridCol w:w="3353"/>
        <w:gridCol w:w="3354"/>
        <w:gridCol w:w="3363"/>
      </w:tblGrid>
      <w:tr w:rsidR="000F053B" w14:paraId="0C438A16" w14:textId="77777777" w:rsidTr="000C16ED">
        <w:trPr>
          <w:trHeight w:val="1008"/>
        </w:trPr>
        <w:tc>
          <w:tcPr>
            <w:tcW w:w="3476" w:type="dxa"/>
            <w:shd w:val="clear" w:color="auto" w:fill="D9D9D9" w:themeFill="background1" w:themeFillShade="D9"/>
          </w:tcPr>
          <w:p w14:paraId="63D5B194" w14:textId="31ADF70D" w:rsidR="00C27223" w:rsidRPr="000C16ED" w:rsidRDefault="00C27223" w:rsidP="004D6A90">
            <w:pPr>
              <w:rPr>
                <w:b/>
                <w:bCs/>
                <w:sz w:val="32"/>
                <w:szCs w:val="32"/>
              </w:rPr>
            </w:pPr>
            <w:r w:rsidRPr="000C16ED">
              <w:rPr>
                <w:b/>
                <w:bCs/>
                <w:sz w:val="32"/>
                <w:szCs w:val="32"/>
              </w:rPr>
              <w:t xml:space="preserve">Date of Revision </w:t>
            </w:r>
            <w:r w:rsidR="002D4FDA" w:rsidRPr="000C16ED">
              <w:rPr>
                <w:b/>
                <w:bCs/>
                <w:sz w:val="32"/>
                <w:szCs w:val="32"/>
              </w:rPr>
              <w:t>| Review</w:t>
            </w:r>
          </w:p>
        </w:tc>
        <w:tc>
          <w:tcPr>
            <w:tcW w:w="3477" w:type="dxa"/>
            <w:shd w:val="clear" w:color="auto" w:fill="D9D9D9" w:themeFill="background1" w:themeFillShade="D9"/>
          </w:tcPr>
          <w:p w14:paraId="180A6A30" w14:textId="58A90027" w:rsidR="00C27223" w:rsidRPr="000C16ED" w:rsidRDefault="002D4FDA" w:rsidP="004D6A90">
            <w:pPr>
              <w:rPr>
                <w:b/>
                <w:bCs/>
                <w:sz w:val="32"/>
                <w:szCs w:val="32"/>
              </w:rPr>
            </w:pPr>
            <w:r w:rsidRPr="000C16ED">
              <w:rPr>
                <w:b/>
                <w:bCs/>
                <w:sz w:val="32"/>
                <w:szCs w:val="32"/>
              </w:rPr>
              <w:t>Section of Revision | Review</w:t>
            </w:r>
          </w:p>
        </w:tc>
        <w:tc>
          <w:tcPr>
            <w:tcW w:w="3477" w:type="dxa"/>
            <w:shd w:val="clear" w:color="auto" w:fill="D9D9D9" w:themeFill="background1" w:themeFillShade="D9"/>
          </w:tcPr>
          <w:p w14:paraId="62986ABC" w14:textId="3108E729" w:rsidR="00C27223" w:rsidRPr="000C16ED" w:rsidRDefault="002D4FDA" w:rsidP="004D6A90">
            <w:pPr>
              <w:rPr>
                <w:b/>
                <w:bCs/>
                <w:sz w:val="32"/>
                <w:szCs w:val="32"/>
              </w:rPr>
            </w:pPr>
            <w:r w:rsidRPr="000C16ED">
              <w:rPr>
                <w:b/>
                <w:bCs/>
                <w:sz w:val="32"/>
                <w:szCs w:val="32"/>
              </w:rPr>
              <w:t>Summary of Revision | Review</w:t>
            </w:r>
          </w:p>
        </w:tc>
      </w:tr>
      <w:tr w:rsidR="000F053B" w14:paraId="597267DD" w14:textId="77777777" w:rsidTr="005D7B51">
        <w:trPr>
          <w:trHeight w:val="1008"/>
        </w:trPr>
        <w:tc>
          <w:tcPr>
            <w:tcW w:w="3476" w:type="dxa"/>
          </w:tcPr>
          <w:p w14:paraId="16153507" w14:textId="51BBC7A9" w:rsidR="00C27223" w:rsidRDefault="002D4FDA" w:rsidP="004D6A90">
            <w:r>
              <w:t>2026</w:t>
            </w:r>
            <w:r w:rsidR="00AC7C2F">
              <w:t>.04</w:t>
            </w:r>
          </w:p>
        </w:tc>
        <w:tc>
          <w:tcPr>
            <w:tcW w:w="3477" w:type="dxa"/>
          </w:tcPr>
          <w:p w14:paraId="46A00883" w14:textId="58B08A8F" w:rsidR="00C27223" w:rsidRDefault="002D4FDA" w:rsidP="004D6A90">
            <w:r>
              <w:t>Entire Document</w:t>
            </w:r>
          </w:p>
        </w:tc>
        <w:tc>
          <w:tcPr>
            <w:tcW w:w="3477" w:type="dxa"/>
          </w:tcPr>
          <w:p w14:paraId="0473618F" w14:textId="2790C4AE" w:rsidR="00C27223" w:rsidRDefault="002D4FDA" w:rsidP="004D6A90">
            <w:r>
              <w:t>Version 1 published</w:t>
            </w:r>
          </w:p>
        </w:tc>
      </w:tr>
      <w:tr w:rsidR="000F053B" w14:paraId="29FB412E" w14:textId="77777777" w:rsidTr="005D7B51">
        <w:trPr>
          <w:trHeight w:val="1008"/>
        </w:trPr>
        <w:tc>
          <w:tcPr>
            <w:tcW w:w="3476" w:type="dxa"/>
          </w:tcPr>
          <w:p w14:paraId="15077CFA" w14:textId="77777777" w:rsidR="00C27223" w:rsidRDefault="00C27223" w:rsidP="004D6A90"/>
        </w:tc>
        <w:tc>
          <w:tcPr>
            <w:tcW w:w="3477" w:type="dxa"/>
          </w:tcPr>
          <w:p w14:paraId="5B5247AE" w14:textId="77777777" w:rsidR="00C27223" w:rsidRDefault="00C27223" w:rsidP="004D6A90"/>
        </w:tc>
        <w:tc>
          <w:tcPr>
            <w:tcW w:w="3477" w:type="dxa"/>
          </w:tcPr>
          <w:p w14:paraId="7E94B546" w14:textId="77777777" w:rsidR="00C27223" w:rsidRDefault="00C27223" w:rsidP="004D6A90"/>
        </w:tc>
      </w:tr>
    </w:tbl>
    <w:p w14:paraId="3897483F" w14:textId="77777777" w:rsidR="00C27223" w:rsidRPr="004D6A90" w:rsidRDefault="00C27223" w:rsidP="004D6A90"/>
    <w:sectPr w:rsidR="00C27223" w:rsidRPr="004D6A90" w:rsidSect="00ED3100">
      <w:footerReference w:type="default" r:id="rId21"/>
      <w:footerReference w:type="first" r:id="rId22"/>
      <w:pgSz w:w="12240" w:h="15840" w:code="1"/>
      <w:pgMar w:top="1080" w:right="1080" w:bottom="1440" w:left="1080" w:header="0" w:footer="10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60F5" w14:textId="77777777" w:rsidR="00AA6A90" w:rsidRDefault="00AA6A90">
      <w:r>
        <w:separator/>
      </w:r>
    </w:p>
  </w:endnote>
  <w:endnote w:type="continuationSeparator" w:id="0">
    <w:p w14:paraId="7061A771" w14:textId="77777777" w:rsidR="00AA6A90" w:rsidRDefault="00AA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BBAA" w14:textId="1613DA68" w:rsidR="00210A1D" w:rsidRDefault="00210A1D">
    <w:pPr>
      <w:pStyle w:val="Footer"/>
    </w:pPr>
  </w:p>
  <w:p w14:paraId="0B890ED1" w14:textId="63634D3C" w:rsidR="009B7136" w:rsidRDefault="009B7136">
    <w:pPr>
      <w:pStyle w:val="BodyText"/>
      <w:spacing w:before="0" w:line="14" w:lineRule="auto"/>
      <w:ind w:left="0"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31D7" w14:textId="77777777" w:rsidR="0088069A" w:rsidRDefault="0088069A">
    <w:pPr>
      <w:pStyle w:val="Footer"/>
      <w:pBdr>
        <w:top w:val="single" w:sz="4" w:space="8" w:color="4F81BD"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7C8CA8DE" w14:textId="77777777" w:rsidR="00562596" w:rsidRDefault="00562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086847"/>
      <w:docPartObj>
        <w:docPartGallery w:val="Page Numbers (Bottom of Page)"/>
        <w:docPartUnique/>
      </w:docPartObj>
    </w:sdtPr>
    <w:sdtEndPr>
      <w:rPr>
        <w:color w:val="7F7F7F" w:themeColor="background1" w:themeShade="7F"/>
        <w:spacing w:val="60"/>
      </w:rPr>
    </w:sdtEndPr>
    <w:sdtContent>
      <w:p w14:paraId="285F00D8" w14:textId="30707F84" w:rsidR="00583BFC" w:rsidRDefault="00583BF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59A204" w14:textId="77777777" w:rsidR="009B7136" w:rsidRDefault="009B7136">
    <w:pPr>
      <w:pStyle w:val="BodyText"/>
      <w:spacing w:before="0" w:line="14" w:lineRule="auto"/>
      <w:ind w:left="0" w:firstLine="0"/>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10DF" w14:textId="77777777" w:rsidR="00384D45" w:rsidRDefault="00384D45">
    <w:pPr>
      <w:pStyle w:val="Footer"/>
      <w:pBdr>
        <w:top w:val="single" w:sz="4" w:space="8" w:color="4F81BD"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45CDEDE3" w14:textId="77777777" w:rsidR="00504D4E" w:rsidRDefault="0050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C524" w14:textId="77777777" w:rsidR="00AA6A90" w:rsidRDefault="00AA6A90">
      <w:r>
        <w:separator/>
      </w:r>
    </w:p>
  </w:footnote>
  <w:footnote w:type="continuationSeparator" w:id="0">
    <w:p w14:paraId="6C98FEF1" w14:textId="77777777" w:rsidR="00AA6A90" w:rsidRDefault="00AA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F96A" w14:textId="1557F94C" w:rsidR="009B7136" w:rsidRDefault="006644B5">
    <w:pPr>
      <w:pStyle w:val="BodyText"/>
      <w:spacing w:before="0" w:line="14" w:lineRule="auto"/>
      <w:ind w:left="0" w:firstLine="0"/>
      <w:rPr>
        <w:sz w:val="17"/>
      </w:rPr>
    </w:pPr>
    <w:r>
      <w:rPr>
        <w:noProof/>
        <w:sz w:val="17"/>
      </w:rPr>
      <mc:AlternateContent>
        <mc:Choice Requires="wpg">
          <w:drawing>
            <wp:anchor distT="0" distB="0" distL="0" distR="0" simplePos="0" relativeHeight="251658240" behindDoc="1" locked="0" layoutInCell="1" allowOverlap="1" wp14:anchorId="57AB596A" wp14:editId="63922D38">
              <wp:simplePos x="0" y="0"/>
              <wp:positionH relativeFrom="page">
                <wp:posOffset>-4762</wp:posOffset>
              </wp:positionH>
              <wp:positionV relativeFrom="page">
                <wp:posOffset>-317</wp:posOffset>
              </wp:positionV>
              <wp:extent cx="7781925" cy="114300"/>
              <wp:effectExtent l="0" t="0" r="0" b="0"/>
              <wp:wrapNone/>
              <wp:docPr id="771703608" name="Group 771703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14300"/>
                        <a:chOff x="0" y="0"/>
                        <a:chExt cx="7781925" cy="114300"/>
                      </a:xfrm>
                    </wpg:grpSpPr>
                    <wps:wsp>
                      <wps:cNvPr id="1124736228" name="Graphic 2"/>
                      <wps:cNvSpPr/>
                      <wps:spPr>
                        <a:xfrm>
                          <a:off x="4762" y="4762"/>
                          <a:ext cx="7772400" cy="104775"/>
                        </a:xfrm>
                        <a:custGeom>
                          <a:avLst/>
                          <a:gdLst/>
                          <a:ahLst/>
                          <a:cxnLst/>
                          <a:rect l="l" t="t" r="r" b="b"/>
                          <a:pathLst>
                            <a:path w="7772400" h="104775">
                              <a:moveTo>
                                <a:pt x="7772400" y="0"/>
                              </a:moveTo>
                              <a:lnTo>
                                <a:pt x="0" y="0"/>
                              </a:lnTo>
                              <a:lnTo>
                                <a:pt x="0" y="104775"/>
                              </a:lnTo>
                              <a:lnTo>
                                <a:pt x="7772400" y="104775"/>
                              </a:lnTo>
                              <a:lnTo>
                                <a:pt x="7772400" y="0"/>
                              </a:lnTo>
                              <a:close/>
                            </a:path>
                          </a:pathLst>
                        </a:custGeom>
                        <a:solidFill>
                          <a:srgbClr val="DD6028"/>
                        </a:solidFill>
                      </wps:spPr>
                      <wps:bodyPr wrap="square" lIns="0" tIns="0" rIns="0" bIns="0" rtlCol="0">
                        <a:prstTxWarp prst="textNoShape">
                          <a:avLst/>
                        </a:prstTxWarp>
                        <a:noAutofit/>
                      </wps:bodyPr>
                    </wps:wsp>
                    <wps:wsp>
                      <wps:cNvPr id="867913065" name="Graphic 3"/>
                      <wps:cNvSpPr/>
                      <wps:spPr>
                        <a:xfrm>
                          <a:off x="4762" y="4762"/>
                          <a:ext cx="7772400" cy="104775"/>
                        </a:xfrm>
                        <a:custGeom>
                          <a:avLst/>
                          <a:gdLst/>
                          <a:ahLst/>
                          <a:cxnLst/>
                          <a:rect l="l" t="t" r="r" b="b"/>
                          <a:pathLst>
                            <a:path w="7772400" h="104775">
                              <a:moveTo>
                                <a:pt x="7772400" y="104775"/>
                              </a:moveTo>
                              <a:lnTo>
                                <a:pt x="0" y="104775"/>
                              </a:lnTo>
                              <a:lnTo>
                                <a:pt x="0" y="0"/>
                              </a:lnTo>
                              <a:lnTo>
                                <a:pt x="7772400" y="0"/>
                              </a:lnTo>
                            </a:path>
                          </a:pathLst>
                        </a:custGeom>
                        <a:ln w="9525">
                          <a:solidFill>
                            <a:srgbClr val="042333"/>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arto="http://schemas.microsoft.com/office/word/2006/arto">
          <w:pict>
            <v:group id="Group 1" style="position:absolute;margin-left:-.35pt;margin-top:0;width:612.75pt;height:9pt;z-index:-251660800;mso-wrap-distance-left:0;mso-wrap-distance-right:0;mso-position-horizontal-relative:page;mso-position-vertical-relative:page" coordsize="77819,1143" o:spid="_x0000_s1026" w14:anchorId="3274C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">
              <v:shape id="Graphic 2" style="position:absolute;left:47;top:47;width:77724;height:1048;visibility:visible;mso-wrap-style:square;v-text-anchor:top" coordsize="7772400,104775" o:spid="_x0000_s1027" fillcolor="#dd6028" stroked="f" path="m7772400,l,,,104775r7772400,l7772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">
                <v:path arrowok="t"/>
              </v:shape>
              <v:shape id="Graphic 3" style="position:absolute;left:47;top:47;width:77724;height:1048;visibility:visible;mso-wrap-style:square;v-text-anchor:top" coordsize="7772400,104775" o:spid="_x0000_s1028" filled="f" strokecolor="#042333" path="m7772400,104775l,104775,,,7772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">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D0F"/>
    <w:multiLevelType w:val="multilevel"/>
    <w:tmpl w:val="0998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63F8A"/>
    <w:multiLevelType w:val="multilevel"/>
    <w:tmpl w:val="A33C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C1478"/>
    <w:multiLevelType w:val="multilevel"/>
    <w:tmpl w:val="DAE4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E1580"/>
    <w:multiLevelType w:val="multilevel"/>
    <w:tmpl w:val="1656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11842"/>
    <w:multiLevelType w:val="multilevel"/>
    <w:tmpl w:val="B140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5019FF"/>
    <w:multiLevelType w:val="multilevel"/>
    <w:tmpl w:val="FA9E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8A4130"/>
    <w:multiLevelType w:val="multilevel"/>
    <w:tmpl w:val="0EC8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9A3AC8"/>
    <w:multiLevelType w:val="multilevel"/>
    <w:tmpl w:val="A55A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004DA"/>
    <w:multiLevelType w:val="multilevel"/>
    <w:tmpl w:val="BA70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A7272"/>
    <w:multiLevelType w:val="multilevel"/>
    <w:tmpl w:val="99BE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5857B1"/>
    <w:multiLevelType w:val="multilevel"/>
    <w:tmpl w:val="B364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B7BA4"/>
    <w:multiLevelType w:val="multilevel"/>
    <w:tmpl w:val="138E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870F3"/>
    <w:multiLevelType w:val="multilevel"/>
    <w:tmpl w:val="CCD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007291"/>
    <w:multiLevelType w:val="multilevel"/>
    <w:tmpl w:val="D47C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6A24AD"/>
    <w:multiLevelType w:val="multilevel"/>
    <w:tmpl w:val="6A1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20563C"/>
    <w:multiLevelType w:val="multilevel"/>
    <w:tmpl w:val="F08E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8177E3"/>
    <w:multiLevelType w:val="multilevel"/>
    <w:tmpl w:val="0ED8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6F2BCF"/>
    <w:multiLevelType w:val="multilevel"/>
    <w:tmpl w:val="DD62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6750AD"/>
    <w:multiLevelType w:val="multilevel"/>
    <w:tmpl w:val="9B0A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BE156F"/>
    <w:multiLevelType w:val="multilevel"/>
    <w:tmpl w:val="E7F6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CB4AFF"/>
    <w:multiLevelType w:val="multilevel"/>
    <w:tmpl w:val="B38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E25111"/>
    <w:multiLevelType w:val="multilevel"/>
    <w:tmpl w:val="9228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A07C4B"/>
    <w:multiLevelType w:val="multilevel"/>
    <w:tmpl w:val="2DBE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0B77D3"/>
    <w:multiLevelType w:val="multilevel"/>
    <w:tmpl w:val="7712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8016287"/>
    <w:multiLevelType w:val="multilevel"/>
    <w:tmpl w:val="605E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35359F"/>
    <w:multiLevelType w:val="multilevel"/>
    <w:tmpl w:val="8046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7236A2"/>
    <w:multiLevelType w:val="multilevel"/>
    <w:tmpl w:val="4C72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755BE0"/>
    <w:multiLevelType w:val="multilevel"/>
    <w:tmpl w:val="D2FC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34730D"/>
    <w:multiLevelType w:val="multilevel"/>
    <w:tmpl w:val="0080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520407"/>
    <w:multiLevelType w:val="multilevel"/>
    <w:tmpl w:val="48C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660528"/>
    <w:multiLevelType w:val="multilevel"/>
    <w:tmpl w:val="138E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A55E4D"/>
    <w:multiLevelType w:val="multilevel"/>
    <w:tmpl w:val="FF06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C57073"/>
    <w:multiLevelType w:val="multilevel"/>
    <w:tmpl w:val="8E00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AF5E31"/>
    <w:multiLevelType w:val="multilevel"/>
    <w:tmpl w:val="925C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1803EFB"/>
    <w:multiLevelType w:val="multilevel"/>
    <w:tmpl w:val="B8F0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0D164A"/>
    <w:multiLevelType w:val="multilevel"/>
    <w:tmpl w:val="9610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170594"/>
    <w:multiLevelType w:val="multilevel"/>
    <w:tmpl w:val="694E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297F21"/>
    <w:multiLevelType w:val="multilevel"/>
    <w:tmpl w:val="D25209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A643C4B"/>
    <w:multiLevelType w:val="multilevel"/>
    <w:tmpl w:val="B4B0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151437"/>
    <w:multiLevelType w:val="multilevel"/>
    <w:tmpl w:val="7CF8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D3307EA"/>
    <w:multiLevelType w:val="multilevel"/>
    <w:tmpl w:val="76AE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E157313"/>
    <w:multiLevelType w:val="multilevel"/>
    <w:tmpl w:val="D77C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5860EA"/>
    <w:multiLevelType w:val="multilevel"/>
    <w:tmpl w:val="716A7A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FD219AE"/>
    <w:multiLevelType w:val="multilevel"/>
    <w:tmpl w:val="DD6E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285360E"/>
    <w:multiLevelType w:val="multilevel"/>
    <w:tmpl w:val="E2E2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3F67C5A"/>
    <w:multiLevelType w:val="multilevel"/>
    <w:tmpl w:val="D082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69F78DF"/>
    <w:multiLevelType w:val="multilevel"/>
    <w:tmpl w:val="CDF6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CF64704"/>
    <w:multiLevelType w:val="multilevel"/>
    <w:tmpl w:val="32FA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5F780A"/>
    <w:multiLevelType w:val="multilevel"/>
    <w:tmpl w:val="E96A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12681B"/>
    <w:multiLevelType w:val="multilevel"/>
    <w:tmpl w:val="4EF8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2C80273"/>
    <w:multiLevelType w:val="multilevel"/>
    <w:tmpl w:val="6BB6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C8513D"/>
    <w:multiLevelType w:val="multilevel"/>
    <w:tmpl w:val="D08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5515B07"/>
    <w:multiLevelType w:val="hybridMultilevel"/>
    <w:tmpl w:val="B34CF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594496F"/>
    <w:multiLevelType w:val="multilevel"/>
    <w:tmpl w:val="C73A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ADD10E4"/>
    <w:multiLevelType w:val="multilevel"/>
    <w:tmpl w:val="37F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C20749B"/>
    <w:multiLevelType w:val="multilevel"/>
    <w:tmpl w:val="559E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C4D41E0"/>
    <w:multiLevelType w:val="multilevel"/>
    <w:tmpl w:val="C62C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C9D2E0D"/>
    <w:multiLevelType w:val="multilevel"/>
    <w:tmpl w:val="ED22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0F5BAF"/>
    <w:multiLevelType w:val="multilevel"/>
    <w:tmpl w:val="04AA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DA55392"/>
    <w:multiLevelType w:val="hybridMultilevel"/>
    <w:tmpl w:val="B45A6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890E7A"/>
    <w:multiLevelType w:val="multilevel"/>
    <w:tmpl w:val="345C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29A6D95"/>
    <w:multiLevelType w:val="multilevel"/>
    <w:tmpl w:val="95C4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29B213E"/>
    <w:multiLevelType w:val="multilevel"/>
    <w:tmpl w:val="0AC4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2CD18E5"/>
    <w:multiLevelType w:val="multilevel"/>
    <w:tmpl w:val="A1A2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DC4193"/>
    <w:multiLevelType w:val="multilevel"/>
    <w:tmpl w:val="DF0A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4445592"/>
    <w:multiLevelType w:val="multilevel"/>
    <w:tmpl w:val="06F8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46E264B"/>
    <w:multiLevelType w:val="multilevel"/>
    <w:tmpl w:val="6E28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9040B3"/>
    <w:multiLevelType w:val="multilevel"/>
    <w:tmpl w:val="8F66A2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64E31D4E"/>
    <w:multiLevelType w:val="multilevel"/>
    <w:tmpl w:val="F58C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7404139"/>
    <w:multiLevelType w:val="multilevel"/>
    <w:tmpl w:val="DE74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294D12"/>
    <w:multiLevelType w:val="multilevel"/>
    <w:tmpl w:val="FC888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8572523"/>
    <w:multiLevelType w:val="multilevel"/>
    <w:tmpl w:val="E796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9430EBB"/>
    <w:multiLevelType w:val="multilevel"/>
    <w:tmpl w:val="9BCA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9565885"/>
    <w:multiLevelType w:val="multilevel"/>
    <w:tmpl w:val="58E810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9BF1F95"/>
    <w:multiLevelType w:val="multilevel"/>
    <w:tmpl w:val="B1DC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B8103E5"/>
    <w:multiLevelType w:val="multilevel"/>
    <w:tmpl w:val="168A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EFC0DA3"/>
    <w:multiLevelType w:val="multilevel"/>
    <w:tmpl w:val="9F52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03A2582"/>
    <w:multiLevelType w:val="multilevel"/>
    <w:tmpl w:val="5B9E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3DB65CB"/>
    <w:multiLevelType w:val="multilevel"/>
    <w:tmpl w:val="CF4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4EC5E82"/>
    <w:multiLevelType w:val="multilevel"/>
    <w:tmpl w:val="C52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51C07B6"/>
    <w:multiLevelType w:val="multilevel"/>
    <w:tmpl w:val="E69E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6183809"/>
    <w:multiLevelType w:val="multilevel"/>
    <w:tmpl w:val="0380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235CE5"/>
    <w:multiLevelType w:val="multilevel"/>
    <w:tmpl w:val="1232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73340BF"/>
    <w:multiLevelType w:val="multilevel"/>
    <w:tmpl w:val="4742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90D4702"/>
    <w:multiLevelType w:val="multilevel"/>
    <w:tmpl w:val="CE6A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93242DC"/>
    <w:multiLevelType w:val="multilevel"/>
    <w:tmpl w:val="566E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A3935A0"/>
    <w:multiLevelType w:val="multilevel"/>
    <w:tmpl w:val="0FD6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B5A7E4A"/>
    <w:multiLevelType w:val="multilevel"/>
    <w:tmpl w:val="6FE0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DF27BEE"/>
    <w:multiLevelType w:val="multilevel"/>
    <w:tmpl w:val="6FE6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8579199">
    <w:abstractNumId w:val="35"/>
  </w:num>
  <w:num w:numId="2" w16cid:durableId="382101264">
    <w:abstractNumId w:val="50"/>
  </w:num>
  <w:num w:numId="3" w16cid:durableId="1368721418">
    <w:abstractNumId w:val="2"/>
  </w:num>
  <w:num w:numId="4" w16cid:durableId="58598689">
    <w:abstractNumId w:val="16"/>
  </w:num>
  <w:num w:numId="5" w16cid:durableId="76563040">
    <w:abstractNumId w:val="27"/>
  </w:num>
  <w:num w:numId="6" w16cid:durableId="1954626489">
    <w:abstractNumId w:val="81"/>
  </w:num>
  <w:num w:numId="7" w16cid:durableId="469321010">
    <w:abstractNumId w:val="78"/>
  </w:num>
  <w:num w:numId="8" w16cid:durableId="639577936">
    <w:abstractNumId w:val="66"/>
  </w:num>
  <w:num w:numId="9" w16cid:durableId="302006019">
    <w:abstractNumId w:val="38"/>
  </w:num>
  <w:num w:numId="10" w16cid:durableId="1755936159">
    <w:abstractNumId w:val="26"/>
  </w:num>
  <w:num w:numId="11" w16cid:durableId="1307080168">
    <w:abstractNumId w:val="36"/>
  </w:num>
  <w:num w:numId="12" w16cid:durableId="1096439904">
    <w:abstractNumId w:val="25"/>
  </w:num>
  <w:num w:numId="13" w16cid:durableId="1002583041">
    <w:abstractNumId w:val="3"/>
  </w:num>
  <w:num w:numId="14" w16cid:durableId="247814829">
    <w:abstractNumId w:val="44"/>
  </w:num>
  <w:num w:numId="15" w16cid:durableId="547691887">
    <w:abstractNumId w:val="74"/>
  </w:num>
  <w:num w:numId="16" w16cid:durableId="606617926">
    <w:abstractNumId w:val="53"/>
  </w:num>
  <w:num w:numId="17" w16cid:durableId="470682429">
    <w:abstractNumId w:val="58"/>
  </w:num>
  <w:num w:numId="18" w16cid:durableId="1385838452">
    <w:abstractNumId w:val="55"/>
  </w:num>
  <w:num w:numId="19" w16cid:durableId="1075132211">
    <w:abstractNumId w:val="6"/>
  </w:num>
  <w:num w:numId="20" w16cid:durableId="226958203">
    <w:abstractNumId w:val="47"/>
  </w:num>
  <w:num w:numId="21" w16cid:durableId="177736242">
    <w:abstractNumId w:val="79"/>
  </w:num>
  <w:num w:numId="22" w16cid:durableId="599918664">
    <w:abstractNumId w:val="54"/>
  </w:num>
  <w:num w:numId="23" w16cid:durableId="980815730">
    <w:abstractNumId w:val="56"/>
  </w:num>
  <w:num w:numId="24" w16cid:durableId="975257578">
    <w:abstractNumId w:val="45"/>
  </w:num>
  <w:num w:numId="25" w16cid:durableId="601911682">
    <w:abstractNumId w:val="23"/>
  </w:num>
  <w:num w:numId="26" w16cid:durableId="735586974">
    <w:abstractNumId w:val="62"/>
  </w:num>
  <w:num w:numId="27" w16cid:durableId="2088728607">
    <w:abstractNumId w:val="17"/>
  </w:num>
  <w:num w:numId="28" w16cid:durableId="961837566">
    <w:abstractNumId w:val="13"/>
  </w:num>
  <w:num w:numId="29" w16cid:durableId="305864906">
    <w:abstractNumId w:val="64"/>
  </w:num>
  <w:num w:numId="30" w16cid:durableId="975185358">
    <w:abstractNumId w:val="11"/>
  </w:num>
  <w:num w:numId="31" w16cid:durableId="1746872958">
    <w:abstractNumId w:val="87"/>
  </w:num>
  <w:num w:numId="32" w16cid:durableId="2079209076">
    <w:abstractNumId w:val="76"/>
  </w:num>
  <w:num w:numId="33" w16cid:durableId="1330517659">
    <w:abstractNumId w:val="28"/>
  </w:num>
  <w:num w:numId="34" w16cid:durableId="1399547286">
    <w:abstractNumId w:val="83"/>
  </w:num>
  <w:num w:numId="35" w16cid:durableId="132791874">
    <w:abstractNumId w:val="80"/>
  </w:num>
  <w:num w:numId="36" w16cid:durableId="1351906382">
    <w:abstractNumId w:val="24"/>
  </w:num>
  <w:num w:numId="37" w16cid:durableId="635649066">
    <w:abstractNumId w:val="29"/>
  </w:num>
  <w:num w:numId="38" w16cid:durableId="1860465381">
    <w:abstractNumId w:val="60"/>
  </w:num>
  <w:num w:numId="39" w16cid:durableId="1706977466">
    <w:abstractNumId w:val="85"/>
  </w:num>
  <w:num w:numId="40" w16cid:durableId="1063017990">
    <w:abstractNumId w:val="63"/>
  </w:num>
  <w:num w:numId="41" w16cid:durableId="464202409">
    <w:abstractNumId w:val="69"/>
  </w:num>
  <w:num w:numId="42" w16cid:durableId="1069039223">
    <w:abstractNumId w:val="51"/>
  </w:num>
  <w:num w:numId="43" w16cid:durableId="1591042468">
    <w:abstractNumId w:val="19"/>
  </w:num>
  <w:num w:numId="44" w16cid:durableId="4402525">
    <w:abstractNumId w:val="31"/>
  </w:num>
  <w:num w:numId="45" w16cid:durableId="972179437">
    <w:abstractNumId w:val="4"/>
  </w:num>
  <w:num w:numId="46" w16cid:durableId="1619095679">
    <w:abstractNumId w:val="1"/>
  </w:num>
  <w:num w:numId="47" w16cid:durableId="917134699">
    <w:abstractNumId w:val="5"/>
  </w:num>
  <w:num w:numId="48" w16cid:durableId="56364321">
    <w:abstractNumId w:val="21"/>
  </w:num>
  <w:num w:numId="49" w16cid:durableId="1622877632">
    <w:abstractNumId w:val="61"/>
  </w:num>
  <w:num w:numId="50" w16cid:durableId="688525543">
    <w:abstractNumId w:val="84"/>
  </w:num>
  <w:num w:numId="51" w16cid:durableId="1070427775">
    <w:abstractNumId w:val="18"/>
  </w:num>
  <w:num w:numId="52" w16cid:durableId="228813160">
    <w:abstractNumId w:val="49"/>
  </w:num>
  <w:num w:numId="53" w16cid:durableId="1245914805">
    <w:abstractNumId w:val="10"/>
  </w:num>
  <w:num w:numId="54" w16cid:durableId="988746897">
    <w:abstractNumId w:val="20"/>
  </w:num>
  <w:num w:numId="55" w16cid:durableId="1949461039">
    <w:abstractNumId w:val="30"/>
  </w:num>
  <w:num w:numId="56" w16cid:durableId="1796754065">
    <w:abstractNumId w:val="48"/>
  </w:num>
  <w:num w:numId="57" w16cid:durableId="1827090444">
    <w:abstractNumId w:val="68"/>
  </w:num>
  <w:num w:numId="58" w16cid:durableId="1650015713">
    <w:abstractNumId w:val="75"/>
  </w:num>
  <w:num w:numId="59" w16cid:durableId="1147698550">
    <w:abstractNumId w:val="33"/>
  </w:num>
  <w:num w:numId="60" w16cid:durableId="253975765">
    <w:abstractNumId w:val="77"/>
  </w:num>
  <w:num w:numId="61" w16cid:durableId="717516164">
    <w:abstractNumId w:val="14"/>
  </w:num>
  <w:num w:numId="62" w16cid:durableId="1980525909">
    <w:abstractNumId w:val="34"/>
  </w:num>
  <w:num w:numId="63" w16cid:durableId="657999832">
    <w:abstractNumId w:val="12"/>
  </w:num>
  <w:num w:numId="64" w16cid:durableId="1740128862">
    <w:abstractNumId w:val="71"/>
  </w:num>
  <w:num w:numId="65" w16cid:durableId="2128809495">
    <w:abstractNumId w:val="65"/>
  </w:num>
  <w:num w:numId="66" w16cid:durableId="2142190867">
    <w:abstractNumId w:val="43"/>
  </w:num>
  <w:num w:numId="67" w16cid:durableId="1213886423">
    <w:abstractNumId w:val="40"/>
  </w:num>
  <w:num w:numId="68" w16cid:durableId="599291049">
    <w:abstractNumId w:val="57"/>
  </w:num>
  <w:num w:numId="69" w16cid:durableId="1997566913">
    <w:abstractNumId w:val="41"/>
  </w:num>
  <w:num w:numId="70" w16cid:durableId="1989238569">
    <w:abstractNumId w:val="0"/>
  </w:num>
  <w:num w:numId="71" w16cid:durableId="681932570">
    <w:abstractNumId w:val="82"/>
  </w:num>
  <w:num w:numId="72" w16cid:durableId="1928077611">
    <w:abstractNumId w:val="86"/>
  </w:num>
  <w:num w:numId="73" w16cid:durableId="1610431933">
    <w:abstractNumId w:val="32"/>
  </w:num>
  <w:num w:numId="74" w16cid:durableId="338779465">
    <w:abstractNumId w:val="39"/>
  </w:num>
  <w:num w:numId="75" w16cid:durableId="1282147101">
    <w:abstractNumId w:val="7"/>
  </w:num>
  <w:num w:numId="76" w16cid:durableId="1134758707">
    <w:abstractNumId w:val="8"/>
  </w:num>
  <w:num w:numId="77" w16cid:durableId="575091688">
    <w:abstractNumId w:val="46"/>
  </w:num>
  <w:num w:numId="78" w16cid:durableId="1235626237">
    <w:abstractNumId w:val="88"/>
  </w:num>
  <w:num w:numId="79" w16cid:durableId="739524071">
    <w:abstractNumId w:val="22"/>
  </w:num>
  <w:num w:numId="80" w16cid:durableId="2044861170">
    <w:abstractNumId w:val="9"/>
  </w:num>
  <w:num w:numId="81" w16cid:durableId="623541243">
    <w:abstractNumId w:val="72"/>
  </w:num>
  <w:num w:numId="82" w16cid:durableId="1658534921">
    <w:abstractNumId w:val="15"/>
  </w:num>
  <w:num w:numId="83" w16cid:durableId="1061371313">
    <w:abstractNumId w:val="70"/>
  </w:num>
  <w:num w:numId="84" w16cid:durableId="988679960">
    <w:abstractNumId w:val="73"/>
  </w:num>
  <w:num w:numId="85" w16cid:durableId="1063217760">
    <w:abstractNumId w:val="37"/>
  </w:num>
  <w:num w:numId="86" w16cid:durableId="233249405">
    <w:abstractNumId w:val="42"/>
  </w:num>
  <w:num w:numId="87" w16cid:durableId="1650329757">
    <w:abstractNumId w:val="67"/>
  </w:num>
  <w:num w:numId="88" w16cid:durableId="230625786">
    <w:abstractNumId w:val="59"/>
  </w:num>
  <w:num w:numId="89" w16cid:durableId="138151394">
    <w:abstractNumId w:val="5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36"/>
    <w:rsid w:val="0000060D"/>
    <w:rsid w:val="0000097E"/>
    <w:rsid w:val="00001E75"/>
    <w:rsid w:val="00004108"/>
    <w:rsid w:val="000071BF"/>
    <w:rsid w:val="00010D66"/>
    <w:rsid w:val="00010EC0"/>
    <w:rsid w:val="00012CF6"/>
    <w:rsid w:val="000160B9"/>
    <w:rsid w:val="000160CE"/>
    <w:rsid w:val="00020F6C"/>
    <w:rsid w:val="0002332C"/>
    <w:rsid w:val="0002556B"/>
    <w:rsid w:val="00035265"/>
    <w:rsid w:val="00037B30"/>
    <w:rsid w:val="00042EBE"/>
    <w:rsid w:val="0004302B"/>
    <w:rsid w:val="000453AE"/>
    <w:rsid w:val="000505AA"/>
    <w:rsid w:val="00051FAA"/>
    <w:rsid w:val="00052B20"/>
    <w:rsid w:val="0005445F"/>
    <w:rsid w:val="00057245"/>
    <w:rsid w:val="0005767B"/>
    <w:rsid w:val="00057ECE"/>
    <w:rsid w:val="00060906"/>
    <w:rsid w:val="000615B3"/>
    <w:rsid w:val="00062A5F"/>
    <w:rsid w:val="00063610"/>
    <w:rsid w:val="00067EB3"/>
    <w:rsid w:val="00072069"/>
    <w:rsid w:val="000744F7"/>
    <w:rsid w:val="0008186A"/>
    <w:rsid w:val="00084D17"/>
    <w:rsid w:val="0008578D"/>
    <w:rsid w:val="00086C36"/>
    <w:rsid w:val="000878D2"/>
    <w:rsid w:val="00091175"/>
    <w:rsid w:val="00091DDF"/>
    <w:rsid w:val="00094702"/>
    <w:rsid w:val="000952AA"/>
    <w:rsid w:val="000A1552"/>
    <w:rsid w:val="000A211C"/>
    <w:rsid w:val="000A2EC2"/>
    <w:rsid w:val="000A3C72"/>
    <w:rsid w:val="000A5643"/>
    <w:rsid w:val="000A5E1A"/>
    <w:rsid w:val="000B214B"/>
    <w:rsid w:val="000C16ED"/>
    <w:rsid w:val="000C2938"/>
    <w:rsid w:val="000C5184"/>
    <w:rsid w:val="000C5C71"/>
    <w:rsid w:val="000D0218"/>
    <w:rsid w:val="000D197E"/>
    <w:rsid w:val="000D1DE4"/>
    <w:rsid w:val="000D3D74"/>
    <w:rsid w:val="000D7F6C"/>
    <w:rsid w:val="000E2031"/>
    <w:rsid w:val="000E4EE8"/>
    <w:rsid w:val="000E7E06"/>
    <w:rsid w:val="000F053B"/>
    <w:rsid w:val="000F20AE"/>
    <w:rsid w:val="000F4D36"/>
    <w:rsid w:val="000F638E"/>
    <w:rsid w:val="00106058"/>
    <w:rsid w:val="00107E57"/>
    <w:rsid w:val="0011210B"/>
    <w:rsid w:val="0011385E"/>
    <w:rsid w:val="001153A9"/>
    <w:rsid w:val="001153BF"/>
    <w:rsid w:val="001168DE"/>
    <w:rsid w:val="00120249"/>
    <w:rsid w:val="00120F03"/>
    <w:rsid w:val="00121156"/>
    <w:rsid w:val="00121307"/>
    <w:rsid w:val="0012147D"/>
    <w:rsid w:val="00130531"/>
    <w:rsid w:val="0013115A"/>
    <w:rsid w:val="0013317C"/>
    <w:rsid w:val="001345B7"/>
    <w:rsid w:val="001350C6"/>
    <w:rsid w:val="001350E5"/>
    <w:rsid w:val="00135EF9"/>
    <w:rsid w:val="00136C9F"/>
    <w:rsid w:val="00140590"/>
    <w:rsid w:val="001405EE"/>
    <w:rsid w:val="0014250B"/>
    <w:rsid w:val="00153DCA"/>
    <w:rsid w:val="00154C18"/>
    <w:rsid w:val="00161C02"/>
    <w:rsid w:val="001636AF"/>
    <w:rsid w:val="001642AA"/>
    <w:rsid w:val="001645A4"/>
    <w:rsid w:val="0016713D"/>
    <w:rsid w:val="0016766E"/>
    <w:rsid w:val="00171759"/>
    <w:rsid w:val="00171834"/>
    <w:rsid w:val="001731F0"/>
    <w:rsid w:val="0017397E"/>
    <w:rsid w:val="00173A1F"/>
    <w:rsid w:val="00175235"/>
    <w:rsid w:val="0017569C"/>
    <w:rsid w:val="00176507"/>
    <w:rsid w:val="001767B7"/>
    <w:rsid w:val="00180710"/>
    <w:rsid w:val="00181F7E"/>
    <w:rsid w:val="00184933"/>
    <w:rsid w:val="00186611"/>
    <w:rsid w:val="00186BEC"/>
    <w:rsid w:val="00187CE9"/>
    <w:rsid w:val="00192424"/>
    <w:rsid w:val="00193222"/>
    <w:rsid w:val="00193939"/>
    <w:rsid w:val="00193CC2"/>
    <w:rsid w:val="0019412C"/>
    <w:rsid w:val="00195CAB"/>
    <w:rsid w:val="0019725C"/>
    <w:rsid w:val="001A32E6"/>
    <w:rsid w:val="001A746A"/>
    <w:rsid w:val="001A7CBB"/>
    <w:rsid w:val="001B4DE7"/>
    <w:rsid w:val="001B5F1E"/>
    <w:rsid w:val="001B6277"/>
    <w:rsid w:val="001B6557"/>
    <w:rsid w:val="001C0FC4"/>
    <w:rsid w:val="001C1C26"/>
    <w:rsid w:val="001C35CE"/>
    <w:rsid w:val="001C61EB"/>
    <w:rsid w:val="001C692F"/>
    <w:rsid w:val="001C78FB"/>
    <w:rsid w:val="001D430D"/>
    <w:rsid w:val="001E00D4"/>
    <w:rsid w:val="001E14E0"/>
    <w:rsid w:val="001E2161"/>
    <w:rsid w:val="001E2E07"/>
    <w:rsid w:val="001E2FB9"/>
    <w:rsid w:val="001E3B29"/>
    <w:rsid w:val="001E503C"/>
    <w:rsid w:val="001E625E"/>
    <w:rsid w:val="001F198D"/>
    <w:rsid w:val="001F251A"/>
    <w:rsid w:val="001F6713"/>
    <w:rsid w:val="002014AB"/>
    <w:rsid w:val="00201871"/>
    <w:rsid w:val="00203D0F"/>
    <w:rsid w:val="00204970"/>
    <w:rsid w:val="00204FA8"/>
    <w:rsid w:val="002068A5"/>
    <w:rsid w:val="00210A1D"/>
    <w:rsid w:val="00217698"/>
    <w:rsid w:val="00217D6D"/>
    <w:rsid w:val="0022089A"/>
    <w:rsid w:val="00223998"/>
    <w:rsid w:val="002268D8"/>
    <w:rsid w:val="00234D08"/>
    <w:rsid w:val="00237838"/>
    <w:rsid w:val="002407BD"/>
    <w:rsid w:val="002411E9"/>
    <w:rsid w:val="00244551"/>
    <w:rsid w:val="00244B67"/>
    <w:rsid w:val="00244FD0"/>
    <w:rsid w:val="002467B6"/>
    <w:rsid w:val="00250FED"/>
    <w:rsid w:val="00252490"/>
    <w:rsid w:val="002536E3"/>
    <w:rsid w:val="00257EE1"/>
    <w:rsid w:val="00257EE4"/>
    <w:rsid w:val="00260F4B"/>
    <w:rsid w:val="00264D13"/>
    <w:rsid w:val="00264E58"/>
    <w:rsid w:val="00265805"/>
    <w:rsid w:val="0026777A"/>
    <w:rsid w:val="00275BF7"/>
    <w:rsid w:val="002777DB"/>
    <w:rsid w:val="00280CE9"/>
    <w:rsid w:val="00281142"/>
    <w:rsid w:val="00284772"/>
    <w:rsid w:val="0029247F"/>
    <w:rsid w:val="002949FF"/>
    <w:rsid w:val="00294A1A"/>
    <w:rsid w:val="0029696F"/>
    <w:rsid w:val="00297074"/>
    <w:rsid w:val="00297EED"/>
    <w:rsid w:val="002A0FCE"/>
    <w:rsid w:val="002A2A29"/>
    <w:rsid w:val="002A6C8E"/>
    <w:rsid w:val="002B193A"/>
    <w:rsid w:val="002B2FDA"/>
    <w:rsid w:val="002B3E48"/>
    <w:rsid w:val="002B6970"/>
    <w:rsid w:val="002B6E72"/>
    <w:rsid w:val="002B7882"/>
    <w:rsid w:val="002C3145"/>
    <w:rsid w:val="002C4637"/>
    <w:rsid w:val="002D0BA3"/>
    <w:rsid w:val="002D1901"/>
    <w:rsid w:val="002D3494"/>
    <w:rsid w:val="002D38A4"/>
    <w:rsid w:val="002D4FDA"/>
    <w:rsid w:val="002D6CCC"/>
    <w:rsid w:val="002D7BC6"/>
    <w:rsid w:val="002E12DD"/>
    <w:rsid w:val="002E1A18"/>
    <w:rsid w:val="002E221D"/>
    <w:rsid w:val="002E3C78"/>
    <w:rsid w:val="002E40B2"/>
    <w:rsid w:val="002E5831"/>
    <w:rsid w:val="002E6173"/>
    <w:rsid w:val="002E63A3"/>
    <w:rsid w:val="002F315A"/>
    <w:rsid w:val="002F4067"/>
    <w:rsid w:val="002F68AA"/>
    <w:rsid w:val="003013EE"/>
    <w:rsid w:val="003021A5"/>
    <w:rsid w:val="00303095"/>
    <w:rsid w:val="00303D1C"/>
    <w:rsid w:val="00304F71"/>
    <w:rsid w:val="00305772"/>
    <w:rsid w:val="003059AE"/>
    <w:rsid w:val="00306C19"/>
    <w:rsid w:val="00310907"/>
    <w:rsid w:val="00311232"/>
    <w:rsid w:val="00311D9E"/>
    <w:rsid w:val="00314256"/>
    <w:rsid w:val="00315BA3"/>
    <w:rsid w:val="00316A0D"/>
    <w:rsid w:val="003171A6"/>
    <w:rsid w:val="00323F65"/>
    <w:rsid w:val="00325498"/>
    <w:rsid w:val="00332482"/>
    <w:rsid w:val="00332A50"/>
    <w:rsid w:val="00333643"/>
    <w:rsid w:val="0033483B"/>
    <w:rsid w:val="003352C2"/>
    <w:rsid w:val="003356A0"/>
    <w:rsid w:val="00335C1C"/>
    <w:rsid w:val="00336CC3"/>
    <w:rsid w:val="0033778A"/>
    <w:rsid w:val="003435EC"/>
    <w:rsid w:val="003445B1"/>
    <w:rsid w:val="00346489"/>
    <w:rsid w:val="0034662D"/>
    <w:rsid w:val="00346683"/>
    <w:rsid w:val="003471EC"/>
    <w:rsid w:val="00351BC8"/>
    <w:rsid w:val="00353D01"/>
    <w:rsid w:val="003548F9"/>
    <w:rsid w:val="003566A1"/>
    <w:rsid w:val="00356A29"/>
    <w:rsid w:val="003575B1"/>
    <w:rsid w:val="00365C80"/>
    <w:rsid w:val="00374066"/>
    <w:rsid w:val="00374494"/>
    <w:rsid w:val="00376C9B"/>
    <w:rsid w:val="0037723F"/>
    <w:rsid w:val="00377B82"/>
    <w:rsid w:val="00380065"/>
    <w:rsid w:val="003816DE"/>
    <w:rsid w:val="00382474"/>
    <w:rsid w:val="00384D45"/>
    <w:rsid w:val="0038720C"/>
    <w:rsid w:val="00391176"/>
    <w:rsid w:val="00391A49"/>
    <w:rsid w:val="00392662"/>
    <w:rsid w:val="003A0804"/>
    <w:rsid w:val="003A35F0"/>
    <w:rsid w:val="003A37CD"/>
    <w:rsid w:val="003A54EF"/>
    <w:rsid w:val="003A5B59"/>
    <w:rsid w:val="003A6497"/>
    <w:rsid w:val="003A6F21"/>
    <w:rsid w:val="003A7A6A"/>
    <w:rsid w:val="003B1AC4"/>
    <w:rsid w:val="003B3F4A"/>
    <w:rsid w:val="003B4D81"/>
    <w:rsid w:val="003B55AE"/>
    <w:rsid w:val="003C06C4"/>
    <w:rsid w:val="003C22E8"/>
    <w:rsid w:val="003C4C9A"/>
    <w:rsid w:val="003D0BFF"/>
    <w:rsid w:val="003D0DEA"/>
    <w:rsid w:val="003D65ED"/>
    <w:rsid w:val="003D6E44"/>
    <w:rsid w:val="003D6ED6"/>
    <w:rsid w:val="003E01A4"/>
    <w:rsid w:val="003E4AF7"/>
    <w:rsid w:val="003E5981"/>
    <w:rsid w:val="003E5D36"/>
    <w:rsid w:val="003E5D95"/>
    <w:rsid w:val="003F2007"/>
    <w:rsid w:val="003F2617"/>
    <w:rsid w:val="003F3FD3"/>
    <w:rsid w:val="003F622C"/>
    <w:rsid w:val="004114FD"/>
    <w:rsid w:val="00413243"/>
    <w:rsid w:val="00417201"/>
    <w:rsid w:val="00417204"/>
    <w:rsid w:val="00420F66"/>
    <w:rsid w:val="0042324C"/>
    <w:rsid w:val="004242AC"/>
    <w:rsid w:val="004260DB"/>
    <w:rsid w:val="00426CCE"/>
    <w:rsid w:val="004277E1"/>
    <w:rsid w:val="0043393B"/>
    <w:rsid w:val="004364B8"/>
    <w:rsid w:val="004373EC"/>
    <w:rsid w:val="00437FA2"/>
    <w:rsid w:val="00442F0D"/>
    <w:rsid w:val="004448CA"/>
    <w:rsid w:val="004451EC"/>
    <w:rsid w:val="00445BD9"/>
    <w:rsid w:val="004508A5"/>
    <w:rsid w:val="00450980"/>
    <w:rsid w:val="00455784"/>
    <w:rsid w:val="00455F19"/>
    <w:rsid w:val="00457862"/>
    <w:rsid w:val="00457EB3"/>
    <w:rsid w:val="00463F78"/>
    <w:rsid w:val="0047219A"/>
    <w:rsid w:val="00480D9D"/>
    <w:rsid w:val="0048159F"/>
    <w:rsid w:val="00482F3C"/>
    <w:rsid w:val="00486593"/>
    <w:rsid w:val="0049012F"/>
    <w:rsid w:val="00492B6C"/>
    <w:rsid w:val="004972B4"/>
    <w:rsid w:val="004A0155"/>
    <w:rsid w:val="004A1394"/>
    <w:rsid w:val="004A29A8"/>
    <w:rsid w:val="004A29F2"/>
    <w:rsid w:val="004A3ADD"/>
    <w:rsid w:val="004A44DC"/>
    <w:rsid w:val="004A53D5"/>
    <w:rsid w:val="004B2408"/>
    <w:rsid w:val="004B3DEE"/>
    <w:rsid w:val="004B50F2"/>
    <w:rsid w:val="004B7B49"/>
    <w:rsid w:val="004C05B0"/>
    <w:rsid w:val="004C0CC6"/>
    <w:rsid w:val="004C4301"/>
    <w:rsid w:val="004C45A7"/>
    <w:rsid w:val="004C6708"/>
    <w:rsid w:val="004C6C13"/>
    <w:rsid w:val="004C7C21"/>
    <w:rsid w:val="004D0534"/>
    <w:rsid w:val="004D30ED"/>
    <w:rsid w:val="004D31F9"/>
    <w:rsid w:val="004D451D"/>
    <w:rsid w:val="004D5FC2"/>
    <w:rsid w:val="004D6A90"/>
    <w:rsid w:val="004D77AB"/>
    <w:rsid w:val="004E3073"/>
    <w:rsid w:val="004F6C4F"/>
    <w:rsid w:val="004F7188"/>
    <w:rsid w:val="00500185"/>
    <w:rsid w:val="005002FB"/>
    <w:rsid w:val="00503B93"/>
    <w:rsid w:val="005044B2"/>
    <w:rsid w:val="00504D14"/>
    <w:rsid w:val="00504D4E"/>
    <w:rsid w:val="00506A29"/>
    <w:rsid w:val="005104F3"/>
    <w:rsid w:val="0051065E"/>
    <w:rsid w:val="0051219D"/>
    <w:rsid w:val="00512473"/>
    <w:rsid w:val="00512CE7"/>
    <w:rsid w:val="005154D2"/>
    <w:rsid w:val="00516056"/>
    <w:rsid w:val="0051657A"/>
    <w:rsid w:val="00520796"/>
    <w:rsid w:val="00520ADE"/>
    <w:rsid w:val="00522BF4"/>
    <w:rsid w:val="005274B2"/>
    <w:rsid w:val="0053013C"/>
    <w:rsid w:val="0053353B"/>
    <w:rsid w:val="005348D8"/>
    <w:rsid w:val="00534914"/>
    <w:rsid w:val="00537242"/>
    <w:rsid w:val="0054055A"/>
    <w:rsid w:val="00541459"/>
    <w:rsid w:val="00542BFB"/>
    <w:rsid w:val="00544D75"/>
    <w:rsid w:val="00544EBB"/>
    <w:rsid w:val="00546FAC"/>
    <w:rsid w:val="00550ACA"/>
    <w:rsid w:val="00556AD0"/>
    <w:rsid w:val="0056116E"/>
    <w:rsid w:val="00562596"/>
    <w:rsid w:val="00563262"/>
    <w:rsid w:val="0057108C"/>
    <w:rsid w:val="00571350"/>
    <w:rsid w:val="005739D9"/>
    <w:rsid w:val="005756EE"/>
    <w:rsid w:val="005757C3"/>
    <w:rsid w:val="0058038D"/>
    <w:rsid w:val="0058186F"/>
    <w:rsid w:val="005827C9"/>
    <w:rsid w:val="00582FCA"/>
    <w:rsid w:val="00583BFC"/>
    <w:rsid w:val="005866C9"/>
    <w:rsid w:val="00587B4A"/>
    <w:rsid w:val="00593CDF"/>
    <w:rsid w:val="005941E9"/>
    <w:rsid w:val="00595D41"/>
    <w:rsid w:val="005A0572"/>
    <w:rsid w:val="005A0D2E"/>
    <w:rsid w:val="005A171A"/>
    <w:rsid w:val="005A1C35"/>
    <w:rsid w:val="005A77B1"/>
    <w:rsid w:val="005B0913"/>
    <w:rsid w:val="005B3E96"/>
    <w:rsid w:val="005B4002"/>
    <w:rsid w:val="005B71B4"/>
    <w:rsid w:val="005C0E7A"/>
    <w:rsid w:val="005C1881"/>
    <w:rsid w:val="005C7D0C"/>
    <w:rsid w:val="005D1ED4"/>
    <w:rsid w:val="005D1EF8"/>
    <w:rsid w:val="005D2C71"/>
    <w:rsid w:val="005D4C39"/>
    <w:rsid w:val="005D5C64"/>
    <w:rsid w:val="005D6261"/>
    <w:rsid w:val="005D69BB"/>
    <w:rsid w:val="005D7A6E"/>
    <w:rsid w:val="005D7B51"/>
    <w:rsid w:val="005E02FC"/>
    <w:rsid w:val="005E2DF4"/>
    <w:rsid w:val="005E4149"/>
    <w:rsid w:val="005F4F0E"/>
    <w:rsid w:val="005F4F81"/>
    <w:rsid w:val="005F59A1"/>
    <w:rsid w:val="005F7B22"/>
    <w:rsid w:val="0060101F"/>
    <w:rsid w:val="00601FF5"/>
    <w:rsid w:val="0060730C"/>
    <w:rsid w:val="00611AC3"/>
    <w:rsid w:val="00612421"/>
    <w:rsid w:val="00614150"/>
    <w:rsid w:val="00616EC8"/>
    <w:rsid w:val="00617B0F"/>
    <w:rsid w:val="00622FC9"/>
    <w:rsid w:val="00625163"/>
    <w:rsid w:val="00625FD7"/>
    <w:rsid w:val="00626327"/>
    <w:rsid w:val="006279DE"/>
    <w:rsid w:val="00631EF9"/>
    <w:rsid w:val="0063337B"/>
    <w:rsid w:val="00633CED"/>
    <w:rsid w:val="00633F20"/>
    <w:rsid w:val="006364F1"/>
    <w:rsid w:val="00637B34"/>
    <w:rsid w:val="006419EE"/>
    <w:rsid w:val="00641FDC"/>
    <w:rsid w:val="00651040"/>
    <w:rsid w:val="0065419F"/>
    <w:rsid w:val="00654EAC"/>
    <w:rsid w:val="00655240"/>
    <w:rsid w:val="00655AAE"/>
    <w:rsid w:val="006564B3"/>
    <w:rsid w:val="006644B5"/>
    <w:rsid w:val="00665821"/>
    <w:rsid w:val="0066764E"/>
    <w:rsid w:val="00667BC0"/>
    <w:rsid w:val="006706E9"/>
    <w:rsid w:val="00670CDD"/>
    <w:rsid w:val="00680804"/>
    <w:rsid w:val="006850CD"/>
    <w:rsid w:val="00685269"/>
    <w:rsid w:val="00685F36"/>
    <w:rsid w:val="00686D87"/>
    <w:rsid w:val="0068766D"/>
    <w:rsid w:val="006906B5"/>
    <w:rsid w:val="00692FB8"/>
    <w:rsid w:val="006934B0"/>
    <w:rsid w:val="00696948"/>
    <w:rsid w:val="00697168"/>
    <w:rsid w:val="006A0D1D"/>
    <w:rsid w:val="006A2181"/>
    <w:rsid w:val="006A25BB"/>
    <w:rsid w:val="006A2FCD"/>
    <w:rsid w:val="006A40BE"/>
    <w:rsid w:val="006A45D8"/>
    <w:rsid w:val="006A75EF"/>
    <w:rsid w:val="006B0763"/>
    <w:rsid w:val="006B21B6"/>
    <w:rsid w:val="006B34AA"/>
    <w:rsid w:val="006B3ED9"/>
    <w:rsid w:val="006B5E2F"/>
    <w:rsid w:val="006B6227"/>
    <w:rsid w:val="006B73C5"/>
    <w:rsid w:val="006C0CBF"/>
    <w:rsid w:val="006C179F"/>
    <w:rsid w:val="006C4F4D"/>
    <w:rsid w:val="006C6038"/>
    <w:rsid w:val="006C64A7"/>
    <w:rsid w:val="006C76B8"/>
    <w:rsid w:val="006C7E4C"/>
    <w:rsid w:val="006D1383"/>
    <w:rsid w:val="006D55CF"/>
    <w:rsid w:val="006D7A56"/>
    <w:rsid w:val="006E2863"/>
    <w:rsid w:val="006F2BA8"/>
    <w:rsid w:val="006F39D5"/>
    <w:rsid w:val="006F62B0"/>
    <w:rsid w:val="007008CE"/>
    <w:rsid w:val="00701C18"/>
    <w:rsid w:val="00703A66"/>
    <w:rsid w:val="00704F78"/>
    <w:rsid w:val="00705281"/>
    <w:rsid w:val="00705DC7"/>
    <w:rsid w:val="007065D7"/>
    <w:rsid w:val="00710AC2"/>
    <w:rsid w:val="007112D8"/>
    <w:rsid w:val="00714AB4"/>
    <w:rsid w:val="00714D77"/>
    <w:rsid w:val="007153CA"/>
    <w:rsid w:val="00720DF4"/>
    <w:rsid w:val="00724863"/>
    <w:rsid w:val="007316F2"/>
    <w:rsid w:val="0073194D"/>
    <w:rsid w:val="007339DC"/>
    <w:rsid w:val="0073444D"/>
    <w:rsid w:val="007358A8"/>
    <w:rsid w:val="00735CEC"/>
    <w:rsid w:val="00740854"/>
    <w:rsid w:val="0074144B"/>
    <w:rsid w:val="00745660"/>
    <w:rsid w:val="00745B93"/>
    <w:rsid w:val="00746CD9"/>
    <w:rsid w:val="00750A62"/>
    <w:rsid w:val="00750AD3"/>
    <w:rsid w:val="0075396F"/>
    <w:rsid w:val="00756665"/>
    <w:rsid w:val="007571C5"/>
    <w:rsid w:val="00757517"/>
    <w:rsid w:val="007604FB"/>
    <w:rsid w:val="00762621"/>
    <w:rsid w:val="00762985"/>
    <w:rsid w:val="0076589A"/>
    <w:rsid w:val="00770DC0"/>
    <w:rsid w:val="007726EA"/>
    <w:rsid w:val="00773E44"/>
    <w:rsid w:val="007762F1"/>
    <w:rsid w:val="00780743"/>
    <w:rsid w:val="00780F53"/>
    <w:rsid w:val="00781062"/>
    <w:rsid w:val="0078477E"/>
    <w:rsid w:val="00784B6B"/>
    <w:rsid w:val="007868D4"/>
    <w:rsid w:val="00792236"/>
    <w:rsid w:val="007926B9"/>
    <w:rsid w:val="00795296"/>
    <w:rsid w:val="007952FE"/>
    <w:rsid w:val="007A1929"/>
    <w:rsid w:val="007A6684"/>
    <w:rsid w:val="007A7747"/>
    <w:rsid w:val="007B05CA"/>
    <w:rsid w:val="007B2358"/>
    <w:rsid w:val="007B6D52"/>
    <w:rsid w:val="007B7575"/>
    <w:rsid w:val="007C06F0"/>
    <w:rsid w:val="007C0AF6"/>
    <w:rsid w:val="007C1B3A"/>
    <w:rsid w:val="007C4D7C"/>
    <w:rsid w:val="007D1925"/>
    <w:rsid w:val="007D578E"/>
    <w:rsid w:val="007D7005"/>
    <w:rsid w:val="007E5BCF"/>
    <w:rsid w:val="007E6899"/>
    <w:rsid w:val="007F03A6"/>
    <w:rsid w:val="007F21E7"/>
    <w:rsid w:val="007F27D1"/>
    <w:rsid w:val="007F3CD7"/>
    <w:rsid w:val="007F572C"/>
    <w:rsid w:val="007F5D8B"/>
    <w:rsid w:val="007F7562"/>
    <w:rsid w:val="007F795E"/>
    <w:rsid w:val="00804411"/>
    <w:rsid w:val="00807377"/>
    <w:rsid w:val="00811C9A"/>
    <w:rsid w:val="00815DCE"/>
    <w:rsid w:val="00817749"/>
    <w:rsid w:val="00820F26"/>
    <w:rsid w:val="00821B94"/>
    <w:rsid w:val="0082312E"/>
    <w:rsid w:val="00824000"/>
    <w:rsid w:val="008259AE"/>
    <w:rsid w:val="00825C6E"/>
    <w:rsid w:val="0082660D"/>
    <w:rsid w:val="008301C3"/>
    <w:rsid w:val="008309E9"/>
    <w:rsid w:val="0083147E"/>
    <w:rsid w:val="008321E4"/>
    <w:rsid w:val="00837520"/>
    <w:rsid w:val="00843CE9"/>
    <w:rsid w:val="00846039"/>
    <w:rsid w:val="00846B2A"/>
    <w:rsid w:val="00847BB4"/>
    <w:rsid w:val="008504C0"/>
    <w:rsid w:val="00851408"/>
    <w:rsid w:val="0085515E"/>
    <w:rsid w:val="00856313"/>
    <w:rsid w:val="00860628"/>
    <w:rsid w:val="00860913"/>
    <w:rsid w:val="00860A1F"/>
    <w:rsid w:val="008621F6"/>
    <w:rsid w:val="00862E4B"/>
    <w:rsid w:val="00865BC3"/>
    <w:rsid w:val="00866C36"/>
    <w:rsid w:val="00877455"/>
    <w:rsid w:val="0087756E"/>
    <w:rsid w:val="00877934"/>
    <w:rsid w:val="0088069A"/>
    <w:rsid w:val="008823E5"/>
    <w:rsid w:val="00882DF7"/>
    <w:rsid w:val="008837DC"/>
    <w:rsid w:val="00883835"/>
    <w:rsid w:val="00883867"/>
    <w:rsid w:val="00886510"/>
    <w:rsid w:val="00886663"/>
    <w:rsid w:val="00887096"/>
    <w:rsid w:val="00887A91"/>
    <w:rsid w:val="00887F74"/>
    <w:rsid w:val="00891B88"/>
    <w:rsid w:val="008922DE"/>
    <w:rsid w:val="0089402D"/>
    <w:rsid w:val="00894B01"/>
    <w:rsid w:val="00894D78"/>
    <w:rsid w:val="00894EC0"/>
    <w:rsid w:val="00895CCA"/>
    <w:rsid w:val="00895EFE"/>
    <w:rsid w:val="008A0009"/>
    <w:rsid w:val="008A7995"/>
    <w:rsid w:val="008A7D50"/>
    <w:rsid w:val="008B06C7"/>
    <w:rsid w:val="008B0B79"/>
    <w:rsid w:val="008B17D7"/>
    <w:rsid w:val="008B21D9"/>
    <w:rsid w:val="008B7A4C"/>
    <w:rsid w:val="008C06ED"/>
    <w:rsid w:val="008C1E80"/>
    <w:rsid w:val="008C4ADD"/>
    <w:rsid w:val="008D0556"/>
    <w:rsid w:val="008D3F0D"/>
    <w:rsid w:val="008D511E"/>
    <w:rsid w:val="008D690A"/>
    <w:rsid w:val="008E0627"/>
    <w:rsid w:val="008E076F"/>
    <w:rsid w:val="008E3484"/>
    <w:rsid w:val="008E3D14"/>
    <w:rsid w:val="008E4227"/>
    <w:rsid w:val="008E4E0D"/>
    <w:rsid w:val="008E5B6C"/>
    <w:rsid w:val="008E6A61"/>
    <w:rsid w:val="008F04C8"/>
    <w:rsid w:val="008F695A"/>
    <w:rsid w:val="00901BCA"/>
    <w:rsid w:val="00902A9F"/>
    <w:rsid w:val="00903E30"/>
    <w:rsid w:val="00911164"/>
    <w:rsid w:val="009112A3"/>
    <w:rsid w:val="00911534"/>
    <w:rsid w:val="009121ED"/>
    <w:rsid w:val="009126E2"/>
    <w:rsid w:val="00913D4C"/>
    <w:rsid w:val="0091617E"/>
    <w:rsid w:val="00916478"/>
    <w:rsid w:val="00917774"/>
    <w:rsid w:val="00917F44"/>
    <w:rsid w:val="00920104"/>
    <w:rsid w:val="009203F2"/>
    <w:rsid w:val="0092154E"/>
    <w:rsid w:val="00922D51"/>
    <w:rsid w:val="0092392E"/>
    <w:rsid w:val="00923B71"/>
    <w:rsid w:val="00924DD2"/>
    <w:rsid w:val="00925093"/>
    <w:rsid w:val="009329C2"/>
    <w:rsid w:val="009332A5"/>
    <w:rsid w:val="00936FF2"/>
    <w:rsid w:val="00937200"/>
    <w:rsid w:val="00941C03"/>
    <w:rsid w:val="00941D85"/>
    <w:rsid w:val="0094351C"/>
    <w:rsid w:val="0094361E"/>
    <w:rsid w:val="00945399"/>
    <w:rsid w:val="00951670"/>
    <w:rsid w:val="00951A61"/>
    <w:rsid w:val="00952E08"/>
    <w:rsid w:val="0095483C"/>
    <w:rsid w:val="00954F88"/>
    <w:rsid w:val="009563B5"/>
    <w:rsid w:val="009566A9"/>
    <w:rsid w:val="00963B23"/>
    <w:rsid w:val="00963C43"/>
    <w:rsid w:val="00963F64"/>
    <w:rsid w:val="009642AF"/>
    <w:rsid w:val="0096468A"/>
    <w:rsid w:val="00965EED"/>
    <w:rsid w:val="009665D2"/>
    <w:rsid w:val="00966848"/>
    <w:rsid w:val="0096685C"/>
    <w:rsid w:val="00973289"/>
    <w:rsid w:val="00975DB0"/>
    <w:rsid w:val="00980485"/>
    <w:rsid w:val="00980986"/>
    <w:rsid w:val="00981C67"/>
    <w:rsid w:val="0098594B"/>
    <w:rsid w:val="00985CFA"/>
    <w:rsid w:val="009873D2"/>
    <w:rsid w:val="00991D04"/>
    <w:rsid w:val="0099327C"/>
    <w:rsid w:val="00993548"/>
    <w:rsid w:val="00994C5D"/>
    <w:rsid w:val="009A028B"/>
    <w:rsid w:val="009A0D74"/>
    <w:rsid w:val="009A102F"/>
    <w:rsid w:val="009A13C9"/>
    <w:rsid w:val="009A5A71"/>
    <w:rsid w:val="009A5ECB"/>
    <w:rsid w:val="009A71E6"/>
    <w:rsid w:val="009A7D71"/>
    <w:rsid w:val="009B07E8"/>
    <w:rsid w:val="009B2313"/>
    <w:rsid w:val="009B3C60"/>
    <w:rsid w:val="009B4DBB"/>
    <w:rsid w:val="009B63AE"/>
    <w:rsid w:val="009B7136"/>
    <w:rsid w:val="009C0AD3"/>
    <w:rsid w:val="009C2834"/>
    <w:rsid w:val="009C37ED"/>
    <w:rsid w:val="009C3D2B"/>
    <w:rsid w:val="009D1326"/>
    <w:rsid w:val="009D78B4"/>
    <w:rsid w:val="009E1B15"/>
    <w:rsid w:val="009E22DA"/>
    <w:rsid w:val="009E374C"/>
    <w:rsid w:val="009E53B6"/>
    <w:rsid w:val="009E5D0A"/>
    <w:rsid w:val="009E7CC3"/>
    <w:rsid w:val="009F7B7D"/>
    <w:rsid w:val="00A00B52"/>
    <w:rsid w:val="00A03AC2"/>
    <w:rsid w:val="00A06480"/>
    <w:rsid w:val="00A1091C"/>
    <w:rsid w:val="00A1311F"/>
    <w:rsid w:val="00A13EBE"/>
    <w:rsid w:val="00A1426D"/>
    <w:rsid w:val="00A1598A"/>
    <w:rsid w:val="00A238E2"/>
    <w:rsid w:val="00A250BC"/>
    <w:rsid w:val="00A309CC"/>
    <w:rsid w:val="00A328D9"/>
    <w:rsid w:val="00A37788"/>
    <w:rsid w:val="00A40390"/>
    <w:rsid w:val="00A53061"/>
    <w:rsid w:val="00A53587"/>
    <w:rsid w:val="00A5377C"/>
    <w:rsid w:val="00A57998"/>
    <w:rsid w:val="00A6187E"/>
    <w:rsid w:val="00A6403E"/>
    <w:rsid w:val="00A657E5"/>
    <w:rsid w:val="00A679AC"/>
    <w:rsid w:val="00A67E95"/>
    <w:rsid w:val="00A70999"/>
    <w:rsid w:val="00A719E1"/>
    <w:rsid w:val="00A740AD"/>
    <w:rsid w:val="00A7582A"/>
    <w:rsid w:val="00A8509A"/>
    <w:rsid w:val="00A86BC9"/>
    <w:rsid w:val="00A903AE"/>
    <w:rsid w:val="00A9173C"/>
    <w:rsid w:val="00A93F85"/>
    <w:rsid w:val="00A941D2"/>
    <w:rsid w:val="00A95D99"/>
    <w:rsid w:val="00A968F9"/>
    <w:rsid w:val="00A96CA1"/>
    <w:rsid w:val="00A970B4"/>
    <w:rsid w:val="00AA0A5C"/>
    <w:rsid w:val="00AA1DC0"/>
    <w:rsid w:val="00AA6A90"/>
    <w:rsid w:val="00AB27B6"/>
    <w:rsid w:val="00AB4D07"/>
    <w:rsid w:val="00AB5782"/>
    <w:rsid w:val="00AC54A7"/>
    <w:rsid w:val="00AC5BBA"/>
    <w:rsid w:val="00AC69C3"/>
    <w:rsid w:val="00AC7AC8"/>
    <w:rsid w:val="00AC7C2F"/>
    <w:rsid w:val="00AD0499"/>
    <w:rsid w:val="00AD0A7B"/>
    <w:rsid w:val="00AD12EA"/>
    <w:rsid w:val="00AD1CD7"/>
    <w:rsid w:val="00AD1D05"/>
    <w:rsid w:val="00AD3C88"/>
    <w:rsid w:val="00AD51AB"/>
    <w:rsid w:val="00AD784C"/>
    <w:rsid w:val="00AE1226"/>
    <w:rsid w:val="00AE12D7"/>
    <w:rsid w:val="00AE2187"/>
    <w:rsid w:val="00AE28D0"/>
    <w:rsid w:val="00AF0A31"/>
    <w:rsid w:val="00AF19D4"/>
    <w:rsid w:val="00AF3359"/>
    <w:rsid w:val="00B00FB1"/>
    <w:rsid w:val="00B022E2"/>
    <w:rsid w:val="00B0271F"/>
    <w:rsid w:val="00B06C21"/>
    <w:rsid w:val="00B07930"/>
    <w:rsid w:val="00B07A45"/>
    <w:rsid w:val="00B16ACA"/>
    <w:rsid w:val="00B20A97"/>
    <w:rsid w:val="00B251C1"/>
    <w:rsid w:val="00B26066"/>
    <w:rsid w:val="00B3231D"/>
    <w:rsid w:val="00B33FFB"/>
    <w:rsid w:val="00B34A55"/>
    <w:rsid w:val="00B35785"/>
    <w:rsid w:val="00B4104E"/>
    <w:rsid w:val="00B423E0"/>
    <w:rsid w:val="00B44753"/>
    <w:rsid w:val="00B459E5"/>
    <w:rsid w:val="00B47FC6"/>
    <w:rsid w:val="00B50A78"/>
    <w:rsid w:val="00B51162"/>
    <w:rsid w:val="00B51541"/>
    <w:rsid w:val="00B54D30"/>
    <w:rsid w:val="00B56551"/>
    <w:rsid w:val="00B57018"/>
    <w:rsid w:val="00B571F9"/>
    <w:rsid w:val="00B638F8"/>
    <w:rsid w:val="00B66914"/>
    <w:rsid w:val="00B70BA3"/>
    <w:rsid w:val="00B7182D"/>
    <w:rsid w:val="00B73304"/>
    <w:rsid w:val="00B733BD"/>
    <w:rsid w:val="00B739EA"/>
    <w:rsid w:val="00B740DA"/>
    <w:rsid w:val="00B74CFC"/>
    <w:rsid w:val="00B77E0B"/>
    <w:rsid w:val="00B81C0B"/>
    <w:rsid w:val="00B81DFD"/>
    <w:rsid w:val="00B82497"/>
    <w:rsid w:val="00B83EC3"/>
    <w:rsid w:val="00B91D36"/>
    <w:rsid w:val="00B92963"/>
    <w:rsid w:val="00B9496D"/>
    <w:rsid w:val="00B96183"/>
    <w:rsid w:val="00BA1B70"/>
    <w:rsid w:val="00BA3471"/>
    <w:rsid w:val="00BA3930"/>
    <w:rsid w:val="00BA50DB"/>
    <w:rsid w:val="00BB410A"/>
    <w:rsid w:val="00BB58E4"/>
    <w:rsid w:val="00BB7882"/>
    <w:rsid w:val="00BC1BF1"/>
    <w:rsid w:val="00BC2517"/>
    <w:rsid w:val="00BC4E04"/>
    <w:rsid w:val="00BC7F9D"/>
    <w:rsid w:val="00BD1811"/>
    <w:rsid w:val="00BD1A9E"/>
    <w:rsid w:val="00BD3BEC"/>
    <w:rsid w:val="00BD4718"/>
    <w:rsid w:val="00BE0AD7"/>
    <w:rsid w:val="00BE13E6"/>
    <w:rsid w:val="00BE1C4E"/>
    <w:rsid w:val="00BE30BF"/>
    <w:rsid w:val="00BE609B"/>
    <w:rsid w:val="00BE7BE3"/>
    <w:rsid w:val="00BF02E2"/>
    <w:rsid w:val="00BF4C03"/>
    <w:rsid w:val="00BF6035"/>
    <w:rsid w:val="00BF6F91"/>
    <w:rsid w:val="00C005D8"/>
    <w:rsid w:val="00C013C5"/>
    <w:rsid w:val="00C02B31"/>
    <w:rsid w:val="00C034F3"/>
    <w:rsid w:val="00C0380F"/>
    <w:rsid w:val="00C03ADC"/>
    <w:rsid w:val="00C1136B"/>
    <w:rsid w:val="00C1260A"/>
    <w:rsid w:val="00C13464"/>
    <w:rsid w:val="00C15334"/>
    <w:rsid w:val="00C154B9"/>
    <w:rsid w:val="00C16CD9"/>
    <w:rsid w:val="00C2051B"/>
    <w:rsid w:val="00C2142B"/>
    <w:rsid w:val="00C241A7"/>
    <w:rsid w:val="00C24ED3"/>
    <w:rsid w:val="00C25948"/>
    <w:rsid w:val="00C25BCF"/>
    <w:rsid w:val="00C25D69"/>
    <w:rsid w:val="00C26504"/>
    <w:rsid w:val="00C27223"/>
    <w:rsid w:val="00C30F4F"/>
    <w:rsid w:val="00C32898"/>
    <w:rsid w:val="00C34A00"/>
    <w:rsid w:val="00C36675"/>
    <w:rsid w:val="00C400FD"/>
    <w:rsid w:val="00C42B16"/>
    <w:rsid w:val="00C42C6D"/>
    <w:rsid w:val="00C43EF0"/>
    <w:rsid w:val="00C445E6"/>
    <w:rsid w:val="00C45BF5"/>
    <w:rsid w:val="00C51F95"/>
    <w:rsid w:val="00C5233B"/>
    <w:rsid w:val="00C53982"/>
    <w:rsid w:val="00C53B87"/>
    <w:rsid w:val="00C54726"/>
    <w:rsid w:val="00C55679"/>
    <w:rsid w:val="00C55AA8"/>
    <w:rsid w:val="00C55C63"/>
    <w:rsid w:val="00C638D0"/>
    <w:rsid w:val="00C66CF7"/>
    <w:rsid w:val="00C74747"/>
    <w:rsid w:val="00C75F5E"/>
    <w:rsid w:val="00C819B8"/>
    <w:rsid w:val="00C84140"/>
    <w:rsid w:val="00C84639"/>
    <w:rsid w:val="00C87F47"/>
    <w:rsid w:val="00C90919"/>
    <w:rsid w:val="00C93184"/>
    <w:rsid w:val="00C93ACD"/>
    <w:rsid w:val="00C94A8A"/>
    <w:rsid w:val="00C94CDC"/>
    <w:rsid w:val="00CA0B5A"/>
    <w:rsid w:val="00CA2349"/>
    <w:rsid w:val="00CA29ED"/>
    <w:rsid w:val="00CA6C1D"/>
    <w:rsid w:val="00CA7D66"/>
    <w:rsid w:val="00CB112F"/>
    <w:rsid w:val="00CB3656"/>
    <w:rsid w:val="00CB3CE8"/>
    <w:rsid w:val="00CB3E29"/>
    <w:rsid w:val="00CB6FA1"/>
    <w:rsid w:val="00CC0EF1"/>
    <w:rsid w:val="00CC27E5"/>
    <w:rsid w:val="00CC2A24"/>
    <w:rsid w:val="00CC4DA0"/>
    <w:rsid w:val="00CC615F"/>
    <w:rsid w:val="00CD17C7"/>
    <w:rsid w:val="00CD37AA"/>
    <w:rsid w:val="00CD3AC5"/>
    <w:rsid w:val="00CE007D"/>
    <w:rsid w:val="00CE1310"/>
    <w:rsid w:val="00CE186C"/>
    <w:rsid w:val="00CE3237"/>
    <w:rsid w:val="00CE423B"/>
    <w:rsid w:val="00CE46E7"/>
    <w:rsid w:val="00CE7EB2"/>
    <w:rsid w:val="00CF1CF4"/>
    <w:rsid w:val="00CF2936"/>
    <w:rsid w:val="00CF4218"/>
    <w:rsid w:val="00CF4D32"/>
    <w:rsid w:val="00D01033"/>
    <w:rsid w:val="00D035E6"/>
    <w:rsid w:val="00D04D29"/>
    <w:rsid w:val="00D05E3F"/>
    <w:rsid w:val="00D10FF3"/>
    <w:rsid w:val="00D11022"/>
    <w:rsid w:val="00D1391A"/>
    <w:rsid w:val="00D146BA"/>
    <w:rsid w:val="00D16353"/>
    <w:rsid w:val="00D170AD"/>
    <w:rsid w:val="00D22018"/>
    <w:rsid w:val="00D27780"/>
    <w:rsid w:val="00D30D80"/>
    <w:rsid w:val="00D32641"/>
    <w:rsid w:val="00D343C8"/>
    <w:rsid w:val="00D35602"/>
    <w:rsid w:val="00D36C67"/>
    <w:rsid w:val="00D411B6"/>
    <w:rsid w:val="00D41242"/>
    <w:rsid w:val="00D43EC6"/>
    <w:rsid w:val="00D44AD6"/>
    <w:rsid w:val="00D504AE"/>
    <w:rsid w:val="00D56D59"/>
    <w:rsid w:val="00D57251"/>
    <w:rsid w:val="00D60431"/>
    <w:rsid w:val="00D60695"/>
    <w:rsid w:val="00D64046"/>
    <w:rsid w:val="00D6538A"/>
    <w:rsid w:val="00D65514"/>
    <w:rsid w:val="00D65B29"/>
    <w:rsid w:val="00D67B93"/>
    <w:rsid w:val="00D70635"/>
    <w:rsid w:val="00D71399"/>
    <w:rsid w:val="00D73539"/>
    <w:rsid w:val="00D757BB"/>
    <w:rsid w:val="00D77263"/>
    <w:rsid w:val="00D800DD"/>
    <w:rsid w:val="00D80A86"/>
    <w:rsid w:val="00D8384C"/>
    <w:rsid w:val="00D83CC6"/>
    <w:rsid w:val="00D85A5E"/>
    <w:rsid w:val="00D86EDC"/>
    <w:rsid w:val="00D8791F"/>
    <w:rsid w:val="00D90171"/>
    <w:rsid w:val="00D912B3"/>
    <w:rsid w:val="00D92E52"/>
    <w:rsid w:val="00D93B1C"/>
    <w:rsid w:val="00D93DB0"/>
    <w:rsid w:val="00D93DE5"/>
    <w:rsid w:val="00D93F43"/>
    <w:rsid w:val="00D977B4"/>
    <w:rsid w:val="00DA0977"/>
    <w:rsid w:val="00DA26B3"/>
    <w:rsid w:val="00DA573A"/>
    <w:rsid w:val="00DA65F2"/>
    <w:rsid w:val="00DA7AE1"/>
    <w:rsid w:val="00DB1587"/>
    <w:rsid w:val="00DB3BDC"/>
    <w:rsid w:val="00DB4AD1"/>
    <w:rsid w:val="00DC0E49"/>
    <w:rsid w:val="00DC1391"/>
    <w:rsid w:val="00DC54B1"/>
    <w:rsid w:val="00DC7558"/>
    <w:rsid w:val="00DC7785"/>
    <w:rsid w:val="00DC7DDC"/>
    <w:rsid w:val="00DD1C8F"/>
    <w:rsid w:val="00DD27F1"/>
    <w:rsid w:val="00DD7173"/>
    <w:rsid w:val="00DE10C2"/>
    <w:rsid w:val="00DE2B21"/>
    <w:rsid w:val="00DE45E8"/>
    <w:rsid w:val="00DE4EC7"/>
    <w:rsid w:val="00DE4F7D"/>
    <w:rsid w:val="00DE6415"/>
    <w:rsid w:val="00DE689D"/>
    <w:rsid w:val="00DE700F"/>
    <w:rsid w:val="00DE78B0"/>
    <w:rsid w:val="00DF0221"/>
    <w:rsid w:val="00DF28E9"/>
    <w:rsid w:val="00DF4432"/>
    <w:rsid w:val="00DF4907"/>
    <w:rsid w:val="00DF57C8"/>
    <w:rsid w:val="00DF68F1"/>
    <w:rsid w:val="00DF7A54"/>
    <w:rsid w:val="00E00369"/>
    <w:rsid w:val="00E018E5"/>
    <w:rsid w:val="00E04026"/>
    <w:rsid w:val="00E06033"/>
    <w:rsid w:val="00E07B0D"/>
    <w:rsid w:val="00E118AF"/>
    <w:rsid w:val="00E16231"/>
    <w:rsid w:val="00E211F3"/>
    <w:rsid w:val="00E21904"/>
    <w:rsid w:val="00E21FE8"/>
    <w:rsid w:val="00E249F6"/>
    <w:rsid w:val="00E26331"/>
    <w:rsid w:val="00E27649"/>
    <w:rsid w:val="00E3249C"/>
    <w:rsid w:val="00E343F2"/>
    <w:rsid w:val="00E34DC1"/>
    <w:rsid w:val="00E36D8B"/>
    <w:rsid w:val="00E37AF4"/>
    <w:rsid w:val="00E429AC"/>
    <w:rsid w:val="00E437E4"/>
    <w:rsid w:val="00E458F6"/>
    <w:rsid w:val="00E4598B"/>
    <w:rsid w:val="00E45CDE"/>
    <w:rsid w:val="00E46B5E"/>
    <w:rsid w:val="00E46D3C"/>
    <w:rsid w:val="00E46F8E"/>
    <w:rsid w:val="00E46FA0"/>
    <w:rsid w:val="00E473C4"/>
    <w:rsid w:val="00E503A5"/>
    <w:rsid w:val="00E556F7"/>
    <w:rsid w:val="00E61F7F"/>
    <w:rsid w:val="00E62C10"/>
    <w:rsid w:val="00E6498D"/>
    <w:rsid w:val="00E70AD7"/>
    <w:rsid w:val="00E76D0B"/>
    <w:rsid w:val="00E7704E"/>
    <w:rsid w:val="00E8533F"/>
    <w:rsid w:val="00E85702"/>
    <w:rsid w:val="00E86243"/>
    <w:rsid w:val="00E901CF"/>
    <w:rsid w:val="00E916F9"/>
    <w:rsid w:val="00E9400B"/>
    <w:rsid w:val="00E942B4"/>
    <w:rsid w:val="00E94639"/>
    <w:rsid w:val="00E94F9A"/>
    <w:rsid w:val="00EA017B"/>
    <w:rsid w:val="00EA592A"/>
    <w:rsid w:val="00EB369A"/>
    <w:rsid w:val="00EB48C1"/>
    <w:rsid w:val="00EB51FE"/>
    <w:rsid w:val="00EB6AE6"/>
    <w:rsid w:val="00EC1ACE"/>
    <w:rsid w:val="00EC21AC"/>
    <w:rsid w:val="00EC3754"/>
    <w:rsid w:val="00EC396B"/>
    <w:rsid w:val="00EC6B1D"/>
    <w:rsid w:val="00ED2C64"/>
    <w:rsid w:val="00ED3100"/>
    <w:rsid w:val="00ED373A"/>
    <w:rsid w:val="00ED4C57"/>
    <w:rsid w:val="00ED5EB4"/>
    <w:rsid w:val="00ED6DF7"/>
    <w:rsid w:val="00ED748E"/>
    <w:rsid w:val="00ED7A64"/>
    <w:rsid w:val="00EE0EBA"/>
    <w:rsid w:val="00EE1992"/>
    <w:rsid w:val="00EE2BDE"/>
    <w:rsid w:val="00EE44B2"/>
    <w:rsid w:val="00EE7587"/>
    <w:rsid w:val="00EF1718"/>
    <w:rsid w:val="00EF4550"/>
    <w:rsid w:val="00EF4623"/>
    <w:rsid w:val="00EF4F5E"/>
    <w:rsid w:val="00EF58DB"/>
    <w:rsid w:val="00EF68B9"/>
    <w:rsid w:val="00F00B14"/>
    <w:rsid w:val="00F032B2"/>
    <w:rsid w:val="00F04273"/>
    <w:rsid w:val="00F106E3"/>
    <w:rsid w:val="00F10896"/>
    <w:rsid w:val="00F1127B"/>
    <w:rsid w:val="00F11D20"/>
    <w:rsid w:val="00F1324E"/>
    <w:rsid w:val="00F15285"/>
    <w:rsid w:val="00F24B25"/>
    <w:rsid w:val="00F24B7F"/>
    <w:rsid w:val="00F255DC"/>
    <w:rsid w:val="00F31BA3"/>
    <w:rsid w:val="00F35636"/>
    <w:rsid w:val="00F365AB"/>
    <w:rsid w:val="00F4067A"/>
    <w:rsid w:val="00F40C53"/>
    <w:rsid w:val="00F40C8E"/>
    <w:rsid w:val="00F43A88"/>
    <w:rsid w:val="00F4649B"/>
    <w:rsid w:val="00F4791C"/>
    <w:rsid w:val="00F5101E"/>
    <w:rsid w:val="00F520FF"/>
    <w:rsid w:val="00F567AC"/>
    <w:rsid w:val="00F5731A"/>
    <w:rsid w:val="00F576FB"/>
    <w:rsid w:val="00F61ADF"/>
    <w:rsid w:val="00F65B69"/>
    <w:rsid w:val="00F671C5"/>
    <w:rsid w:val="00F67D3B"/>
    <w:rsid w:val="00F70036"/>
    <w:rsid w:val="00F70305"/>
    <w:rsid w:val="00F72FFC"/>
    <w:rsid w:val="00F74D25"/>
    <w:rsid w:val="00F75A0D"/>
    <w:rsid w:val="00F80DD4"/>
    <w:rsid w:val="00F828BD"/>
    <w:rsid w:val="00F82AF8"/>
    <w:rsid w:val="00F8741F"/>
    <w:rsid w:val="00F9168A"/>
    <w:rsid w:val="00FA029A"/>
    <w:rsid w:val="00FA335C"/>
    <w:rsid w:val="00FA58A4"/>
    <w:rsid w:val="00FA6A1D"/>
    <w:rsid w:val="00FA6B71"/>
    <w:rsid w:val="00FB01DE"/>
    <w:rsid w:val="00FB0805"/>
    <w:rsid w:val="00FB655E"/>
    <w:rsid w:val="00FB78C0"/>
    <w:rsid w:val="00FC019B"/>
    <w:rsid w:val="00FC0FBE"/>
    <w:rsid w:val="00FC21ED"/>
    <w:rsid w:val="00FC57AC"/>
    <w:rsid w:val="00FD0342"/>
    <w:rsid w:val="00FD081E"/>
    <w:rsid w:val="00FD137D"/>
    <w:rsid w:val="00FD5B5D"/>
    <w:rsid w:val="00FD6F5E"/>
    <w:rsid w:val="00FD7935"/>
    <w:rsid w:val="00FE17F9"/>
    <w:rsid w:val="00FE335D"/>
    <w:rsid w:val="00FE674C"/>
    <w:rsid w:val="00FE7AAE"/>
    <w:rsid w:val="00FF1C85"/>
    <w:rsid w:val="00FF1ED4"/>
    <w:rsid w:val="00FF3E39"/>
    <w:rsid w:val="00FF6201"/>
    <w:rsid w:val="02BF9B14"/>
    <w:rsid w:val="0457CAFC"/>
    <w:rsid w:val="07C3566D"/>
    <w:rsid w:val="0882EC88"/>
    <w:rsid w:val="093FA8C8"/>
    <w:rsid w:val="0D1C810C"/>
    <w:rsid w:val="10D95666"/>
    <w:rsid w:val="135D9C30"/>
    <w:rsid w:val="15FAF1D4"/>
    <w:rsid w:val="17959839"/>
    <w:rsid w:val="19A09CA8"/>
    <w:rsid w:val="1DBA2D34"/>
    <w:rsid w:val="2090326D"/>
    <w:rsid w:val="21C26B1F"/>
    <w:rsid w:val="2222A0B9"/>
    <w:rsid w:val="26FE8276"/>
    <w:rsid w:val="27CE48C3"/>
    <w:rsid w:val="28C78380"/>
    <w:rsid w:val="2A3E79BA"/>
    <w:rsid w:val="2D766FA8"/>
    <w:rsid w:val="2DAFD70A"/>
    <w:rsid w:val="2EE1EE59"/>
    <w:rsid w:val="30E1C23A"/>
    <w:rsid w:val="3229B5AC"/>
    <w:rsid w:val="333F3D75"/>
    <w:rsid w:val="33426AAC"/>
    <w:rsid w:val="33BAA0C8"/>
    <w:rsid w:val="34513649"/>
    <w:rsid w:val="358CA241"/>
    <w:rsid w:val="364691E6"/>
    <w:rsid w:val="37F00C21"/>
    <w:rsid w:val="3BFB3A70"/>
    <w:rsid w:val="3DDDEC8C"/>
    <w:rsid w:val="41FA5A7D"/>
    <w:rsid w:val="428B44E3"/>
    <w:rsid w:val="45C8CAC3"/>
    <w:rsid w:val="47B65FA4"/>
    <w:rsid w:val="4A877465"/>
    <w:rsid w:val="4B20B261"/>
    <w:rsid w:val="4C206145"/>
    <w:rsid w:val="4F063ED2"/>
    <w:rsid w:val="4F41F7E9"/>
    <w:rsid w:val="505D4686"/>
    <w:rsid w:val="52AD5284"/>
    <w:rsid w:val="53269F50"/>
    <w:rsid w:val="549457CD"/>
    <w:rsid w:val="54B1CA1E"/>
    <w:rsid w:val="54E8A711"/>
    <w:rsid w:val="55E20592"/>
    <w:rsid w:val="55F59EFC"/>
    <w:rsid w:val="55FF7A84"/>
    <w:rsid w:val="57A86BB5"/>
    <w:rsid w:val="58161321"/>
    <w:rsid w:val="581D56F8"/>
    <w:rsid w:val="59E19A76"/>
    <w:rsid w:val="5A77A464"/>
    <w:rsid w:val="5A932C40"/>
    <w:rsid w:val="5AE351A9"/>
    <w:rsid w:val="63DB95A8"/>
    <w:rsid w:val="65B50B4D"/>
    <w:rsid w:val="66D17BBA"/>
    <w:rsid w:val="6788923A"/>
    <w:rsid w:val="6C3DBA40"/>
    <w:rsid w:val="6C464B0B"/>
    <w:rsid w:val="6C85F463"/>
    <w:rsid w:val="6DDCABFF"/>
    <w:rsid w:val="6DE2C2D5"/>
    <w:rsid w:val="7228391B"/>
    <w:rsid w:val="72F072A8"/>
    <w:rsid w:val="73326D61"/>
    <w:rsid w:val="73B5F547"/>
    <w:rsid w:val="74A20F65"/>
    <w:rsid w:val="7689D57D"/>
    <w:rsid w:val="799239D9"/>
    <w:rsid w:val="79F6CEDF"/>
    <w:rsid w:val="7A5F2E7D"/>
    <w:rsid w:val="7BD26F97"/>
    <w:rsid w:val="7C76E01A"/>
    <w:rsid w:val="7CCE206A"/>
    <w:rsid w:val="7E19BA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57001"/>
  <w15:docId w15:val="{14B09A59-82C4-48FD-9C6F-EFAF299C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EC0"/>
    <w:rPr>
      <w:rFonts w:ascii="Calibri" w:eastAsia="Calibri" w:hAnsi="Calibri" w:cs="Calibri"/>
    </w:rPr>
  </w:style>
  <w:style w:type="paragraph" w:styleId="Heading1">
    <w:name w:val="heading 1"/>
    <w:basedOn w:val="Normal"/>
    <w:link w:val="Heading1Char"/>
    <w:uiPriority w:val="9"/>
    <w:qFormat/>
    <w:rsid w:val="008259AE"/>
    <w:pPr>
      <w:ind w:right="3"/>
      <w:outlineLvl w:val="0"/>
    </w:pPr>
    <w:rPr>
      <w:b/>
      <w:bCs/>
      <w:sz w:val="32"/>
      <w:szCs w:val="32"/>
    </w:rPr>
  </w:style>
  <w:style w:type="paragraph" w:styleId="Heading2">
    <w:name w:val="heading 2"/>
    <w:basedOn w:val="Normal"/>
    <w:link w:val="Heading2Char"/>
    <w:autoRedefine/>
    <w:uiPriority w:val="9"/>
    <w:unhideWhenUsed/>
    <w:qFormat/>
    <w:rsid w:val="004A29F2"/>
    <w:pPr>
      <w:spacing w:before="227"/>
      <w:ind w:left="300" w:hanging="228"/>
      <w:outlineLvl w:val="1"/>
    </w:pPr>
    <w:rPr>
      <w:b/>
      <w:bCs/>
      <w:i/>
      <w:iCs/>
      <w:caps/>
      <w:sz w:val="28"/>
      <w:szCs w:val="28"/>
    </w:rPr>
  </w:style>
  <w:style w:type="paragraph" w:styleId="Heading3">
    <w:name w:val="heading 3"/>
    <w:basedOn w:val="Normal"/>
    <w:next w:val="Normal"/>
    <w:link w:val="Heading3Char"/>
    <w:autoRedefine/>
    <w:uiPriority w:val="9"/>
    <w:unhideWhenUsed/>
    <w:qFormat/>
    <w:rsid w:val="00614150"/>
    <w:pPr>
      <w:keepNext/>
      <w:keepLines/>
      <w:spacing w:before="40"/>
      <w:outlineLvl w:val="2"/>
    </w:pPr>
    <w:rPr>
      <w:rFonts w:asciiTheme="minorHAnsi" w:eastAsiaTheme="majorEastAsia" w:hAnsiTheme="minorHAnsi" w:cstheme="majorBid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5"/>
      <w:ind w:left="503" w:hanging="431"/>
    </w:pPr>
  </w:style>
  <w:style w:type="paragraph" w:styleId="ListParagraph">
    <w:name w:val="List Paragraph"/>
    <w:basedOn w:val="Normal"/>
    <w:uiPriority w:val="1"/>
    <w:qFormat/>
    <w:pPr>
      <w:spacing w:before="45"/>
      <w:ind w:left="503" w:hanging="4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5D8B"/>
    <w:pPr>
      <w:tabs>
        <w:tab w:val="center" w:pos="4680"/>
        <w:tab w:val="right" w:pos="9360"/>
      </w:tabs>
    </w:pPr>
  </w:style>
  <w:style w:type="character" w:customStyle="1" w:styleId="HeaderChar">
    <w:name w:val="Header Char"/>
    <w:basedOn w:val="DefaultParagraphFont"/>
    <w:link w:val="Header"/>
    <w:uiPriority w:val="99"/>
    <w:rsid w:val="007F5D8B"/>
    <w:rPr>
      <w:rFonts w:ascii="Calibri" w:eastAsia="Calibri" w:hAnsi="Calibri" w:cs="Calibri"/>
    </w:rPr>
  </w:style>
  <w:style w:type="paragraph" w:styleId="Footer">
    <w:name w:val="footer"/>
    <w:basedOn w:val="Normal"/>
    <w:link w:val="FooterChar"/>
    <w:uiPriority w:val="99"/>
    <w:unhideWhenUsed/>
    <w:qFormat/>
    <w:rsid w:val="007F5D8B"/>
    <w:pPr>
      <w:tabs>
        <w:tab w:val="center" w:pos="4680"/>
        <w:tab w:val="right" w:pos="9360"/>
      </w:tabs>
    </w:pPr>
  </w:style>
  <w:style w:type="character" w:customStyle="1" w:styleId="FooterChar">
    <w:name w:val="Footer Char"/>
    <w:basedOn w:val="DefaultParagraphFont"/>
    <w:link w:val="Footer"/>
    <w:uiPriority w:val="99"/>
    <w:rsid w:val="007F5D8B"/>
    <w:rPr>
      <w:rFonts w:ascii="Calibri" w:eastAsia="Calibri" w:hAnsi="Calibri" w:cs="Calibri"/>
    </w:rPr>
  </w:style>
  <w:style w:type="character" w:customStyle="1" w:styleId="Heading3Char">
    <w:name w:val="Heading 3 Char"/>
    <w:basedOn w:val="DefaultParagraphFont"/>
    <w:link w:val="Heading3"/>
    <w:uiPriority w:val="9"/>
    <w:rsid w:val="00614150"/>
    <w:rPr>
      <w:rFonts w:eastAsiaTheme="majorEastAsia" w:cstheme="majorBidi"/>
      <w:sz w:val="24"/>
      <w:szCs w:val="24"/>
      <w:u w:val="single"/>
    </w:rPr>
  </w:style>
  <w:style w:type="table" w:styleId="PlainTable2">
    <w:name w:val="Plain Table 2"/>
    <w:basedOn w:val="TableNormal"/>
    <w:uiPriority w:val="42"/>
    <w:rsid w:val="00EB48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ubtleEmphasis">
    <w:name w:val="Subtle Emphasis"/>
    <w:aliases w:val="Regulation Reference"/>
    <w:basedOn w:val="DefaultParagraphFont"/>
    <w:uiPriority w:val="19"/>
    <w:qFormat/>
    <w:rsid w:val="00280CE9"/>
    <w:rPr>
      <w:i/>
      <w:iCs/>
      <w:color w:val="404040" w:themeColor="text1" w:themeTint="BF"/>
    </w:rPr>
  </w:style>
  <w:style w:type="paragraph" w:styleId="TOCHeading">
    <w:name w:val="TOC Heading"/>
    <w:basedOn w:val="Heading1"/>
    <w:next w:val="Normal"/>
    <w:uiPriority w:val="39"/>
    <w:unhideWhenUsed/>
    <w:qFormat/>
    <w:rsid w:val="00637B34"/>
    <w:pPr>
      <w:keepNext/>
      <w:keepLines/>
      <w:widowControl/>
      <w:autoSpaceDE/>
      <w:autoSpaceDN/>
      <w:spacing w:before="240" w:line="259" w:lineRule="auto"/>
      <w:ind w:right="0"/>
      <w:outlineLvl w:val="9"/>
    </w:pPr>
    <w:rPr>
      <w:rFonts w:asciiTheme="majorHAnsi" w:eastAsiaTheme="majorEastAsia" w:hAnsiTheme="majorHAnsi" w:cstheme="majorBidi"/>
      <w:b w:val="0"/>
      <w:bCs w:val="0"/>
      <w:i/>
      <w:iCs/>
      <w:color w:val="365F91" w:themeColor="accent1" w:themeShade="BF"/>
    </w:rPr>
  </w:style>
  <w:style w:type="paragraph" w:styleId="TOC2">
    <w:name w:val="toc 2"/>
    <w:basedOn w:val="Normal"/>
    <w:next w:val="Normal"/>
    <w:autoRedefine/>
    <w:uiPriority w:val="39"/>
    <w:unhideWhenUsed/>
    <w:rsid w:val="00637B34"/>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37B34"/>
    <w:pPr>
      <w:widowControl/>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637B34"/>
    <w:pPr>
      <w:widowControl/>
      <w:autoSpaceDE/>
      <w:autoSpaceDN/>
      <w:spacing w:after="100" w:line="259" w:lineRule="auto"/>
      <w:ind w:left="440"/>
    </w:pPr>
    <w:rPr>
      <w:rFonts w:asciiTheme="minorHAnsi" w:eastAsiaTheme="minorEastAsia" w:hAnsiTheme="minorHAnsi" w:cs="Times New Roman"/>
    </w:rPr>
  </w:style>
  <w:style w:type="character" w:styleId="Hyperlink">
    <w:name w:val="Hyperlink"/>
    <w:basedOn w:val="DefaultParagraphFont"/>
    <w:uiPriority w:val="99"/>
    <w:unhideWhenUsed/>
    <w:rsid w:val="00637B34"/>
    <w:rPr>
      <w:color w:val="0000FF" w:themeColor="hyperlink"/>
      <w:u w:val="single"/>
    </w:rPr>
  </w:style>
  <w:style w:type="character" w:styleId="UnresolvedMention">
    <w:name w:val="Unresolved Mention"/>
    <w:basedOn w:val="DefaultParagraphFont"/>
    <w:uiPriority w:val="99"/>
    <w:semiHidden/>
    <w:unhideWhenUsed/>
    <w:rsid w:val="003F2007"/>
    <w:rPr>
      <w:color w:val="605E5C"/>
      <w:shd w:val="clear" w:color="auto" w:fill="E1DFDD"/>
    </w:rPr>
  </w:style>
  <w:style w:type="character" w:customStyle="1" w:styleId="Heading1Char">
    <w:name w:val="Heading 1 Char"/>
    <w:basedOn w:val="DefaultParagraphFont"/>
    <w:link w:val="Heading1"/>
    <w:uiPriority w:val="9"/>
    <w:rsid w:val="008259AE"/>
    <w:rPr>
      <w:rFonts w:ascii="Calibri" w:eastAsia="Calibri" w:hAnsi="Calibri" w:cs="Calibri"/>
      <w:b/>
      <w:bCs/>
      <w:sz w:val="32"/>
      <w:szCs w:val="32"/>
    </w:rPr>
  </w:style>
  <w:style w:type="character" w:styleId="IntenseReference">
    <w:name w:val="Intense Reference"/>
    <w:aliases w:val="Agency Placeholder"/>
    <w:basedOn w:val="DefaultParagraphFont"/>
    <w:uiPriority w:val="32"/>
    <w:qFormat/>
    <w:rsid w:val="00C154B9"/>
    <w:rPr>
      <w:b/>
      <w:bCs/>
      <w:caps w:val="0"/>
      <w:smallCaps/>
      <w:color w:val="auto"/>
      <w:spacing w:val="5"/>
    </w:rPr>
  </w:style>
  <w:style w:type="character" w:styleId="Strong">
    <w:name w:val="Strong"/>
    <w:basedOn w:val="DefaultParagraphFont"/>
    <w:uiPriority w:val="22"/>
    <w:qFormat/>
    <w:rsid w:val="00346683"/>
    <w:rPr>
      <w:b/>
      <w:bCs/>
    </w:rPr>
  </w:style>
  <w:style w:type="paragraph" w:styleId="Quote">
    <w:name w:val="Quote"/>
    <w:basedOn w:val="Normal"/>
    <w:next w:val="Normal"/>
    <w:link w:val="QuoteChar"/>
    <w:uiPriority w:val="29"/>
    <w:qFormat/>
    <w:rsid w:val="003466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6683"/>
    <w:rPr>
      <w:rFonts w:ascii="Calibri" w:eastAsia="Calibri" w:hAnsi="Calibri" w:cs="Calibri"/>
      <w:i/>
      <w:iCs/>
      <w:color w:val="404040" w:themeColor="text1" w:themeTint="BF"/>
    </w:rPr>
  </w:style>
  <w:style w:type="character" w:styleId="SubtleReference">
    <w:name w:val="Subtle Reference"/>
    <w:aliases w:val="recommended practice"/>
    <w:basedOn w:val="DefaultParagraphFont"/>
    <w:uiPriority w:val="31"/>
    <w:qFormat/>
    <w:rsid w:val="00686D87"/>
    <w:rPr>
      <w:rFonts w:asciiTheme="minorHAnsi" w:hAnsiTheme="minorHAnsi"/>
      <w:b/>
      <w:caps w:val="0"/>
      <w:smallCaps w:val="0"/>
      <w:color w:val="004D4C"/>
      <w:sz w:val="22"/>
      <w:u w:val="double"/>
    </w:rPr>
  </w:style>
  <w:style w:type="paragraph" w:styleId="NormalWeb">
    <w:name w:val="Normal (Web)"/>
    <w:basedOn w:val="Normal"/>
    <w:uiPriority w:val="99"/>
    <w:semiHidden/>
    <w:unhideWhenUsed/>
    <w:rsid w:val="00154C18"/>
    <w:rPr>
      <w:rFonts w:ascii="Times New Roman" w:hAnsi="Times New Roman" w:cs="Times New Roman"/>
      <w:sz w:val="24"/>
      <w:szCs w:val="24"/>
    </w:rPr>
  </w:style>
  <w:style w:type="table" w:styleId="TableGrid">
    <w:name w:val="Table Grid"/>
    <w:basedOn w:val="TableNormal"/>
    <w:uiPriority w:val="39"/>
    <w:rsid w:val="00C2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29F2"/>
    <w:rPr>
      <w:rFonts w:ascii="Calibri" w:eastAsia="Calibri" w:hAnsi="Calibri" w:cs="Calibri"/>
      <w:b/>
      <w:bCs/>
      <w:i/>
      <w:iCs/>
      <w:caps/>
      <w:sz w:val="28"/>
      <w:szCs w:val="28"/>
    </w:rPr>
  </w:style>
  <w:style w:type="character" w:styleId="CommentReference">
    <w:name w:val="annotation reference"/>
    <w:basedOn w:val="DefaultParagraphFont"/>
    <w:uiPriority w:val="99"/>
    <w:semiHidden/>
    <w:unhideWhenUsed/>
    <w:rsid w:val="00626327"/>
    <w:rPr>
      <w:sz w:val="16"/>
      <w:szCs w:val="16"/>
    </w:rPr>
  </w:style>
  <w:style w:type="paragraph" w:styleId="CommentText">
    <w:name w:val="annotation text"/>
    <w:basedOn w:val="Normal"/>
    <w:link w:val="CommentTextChar"/>
    <w:uiPriority w:val="99"/>
    <w:unhideWhenUsed/>
    <w:rsid w:val="00626327"/>
    <w:rPr>
      <w:sz w:val="20"/>
      <w:szCs w:val="20"/>
    </w:rPr>
  </w:style>
  <w:style w:type="character" w:customStyle="1" w:styleId="CommentTextChar">
    <w:name w:val="Comment Text Char"/>
    <w:basedOn w:val="DefaultParagraphFont"/>
    <w:link w:val="CommentText"/>
    <w:uiPriority w:val="99"/>
    <w:rsid w:val="0062632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6327"/>
    <w:rPr>
      <w:b/>
      <w:bCs/>
    </w:rPr>
  </w:style>
  <w:style w:type="character" w:customStyle="1" w:styleId="CommentSubjectChar">
    <w:name w:val="Comment Subject Char"/>
    <w:basedOn w:val="CommentTextChar"/>
    <w:link w:val="CommentSubject"/>
    <w:uiPriority w:val="99"/>
    <w:semiHidden/>
    <w:rsid w:val="00626327"/>
    <w:rPr>
      <w:rFonts w:ascii="Calibri" w:eastAsia="Calibri" w:hAnsi="Calibri" w:cs="Calibri"/>
      <w:b/>
      <w:bCs/>
      <w:sz w:val="20"/>
      <w:szCs w:val="20"/>
    </w:rPr>
  </w:style>
  <w:style w:type="paragraph" w:customStyle="1" w:styleId="Default">
    <w:name w:val="Default"/>
    <w:rsid w:val="000C5C71"/>
    <w:pPr>
      <w:widowControl/>
      <w:adjustRightInd w:val="0"/>
    </w:pPr>
    <w:rPr>
      <w:rFonts w:ascii="Lato" w:hAnsi="Lato" w:cs="Lato"/>
      <w:color w:val="000000"/>
      <w:sz w:val="24"/>
      <w:szCs w:val="24"/>
    </w:rPr>
  </w:style>
  <w:style w:type="paragraph" w:customStyle="1" w:styleId="BestPractice">
    <w:name w:val="Best Practice"/>
    <w:basedOn w:val="Normal"/>
    <w:link w:val="BestPracticeChar"/>
    <w:qFormat/>
    <w:rsid w:val="000C5C71"/>
    <w:pPr>
      <w:jc w:val="center"/>
    </w:pPr>
    <w:rPr>
      <w:rFonts w:ascii="Times New Roman" w:hAnsi="Times New Roman" w:cs="Times New Roman"/>
      <w:color w:val="004D4C"/>
    </w:rPr>
  </w:style>
  <w:style w:type="character" w:customStyle="1" w:styleId="BestPracticeChar">
    <w:name w:val="Best Practice Char"/>
    <w:basedOn w:val="DefaultParagraphFont"/>
    <w:link w:val="BestPractice"/>
    <w:rsid w:val="000C5C71"/>
    <w:rPr>
      <w:rFonts w:ascii="Times New Roman" w:eastAsia="Calibri" w:hAnsi="Times New Roman" w:cs="Times New Roman"/>
      <w:color w:val="004D4C"/>
    </w:rPr>
  </w:style>
  <w:style w:type="paragraph" w:styleId="Revision">
    <w:name w:val="Revision"/>
    <w:hidden/>
    <w:uiPriority w:val="99"/>
    <w:semiHidden/>
    <w:rsid w:val="00F04273"/>
    <w:pPr>
      <w:widowControl/>
      <w:autoSpaceDE/>
      <w:autoSpaceDN/>
    </w:pPr>
    <w:rPr>
      <w:rFonts w:ascii="Calibri" w:eastAsia="Calibri" w:hAnsi="Calibri" w:cs="Calibri"/>
    </w:rPr>
  </w:style>
  <w:style w:type="character" w:styleId="Mention">
    <w:name w:val="Mention"/>
    <w:basedOn w:val="DefaultParagraphFont"/>
    <w:uiPriority w:val="99"/>
    <w:unhideWhenUsed/>
    <w:rsid w:val="004D05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mdfa.state.nm.us/infrastructure-planning-and-development-division/federal-grants-bure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mdfa.state.nm.us/infrastructure-planning-and-development-division/federal-grants-bureau/" TargetMode="External"/><Relationship Id="rId2" Type="http://schemas.openxmlformats.org/officeDocument/2006/relationships/customXml" Target="../customXml/item2.xml"/><Relationship Id="rId16" Type="http://schemas.openxmlformats.org/officeDocument/2006/relationships/hyperlink" Target="https://www.nmdfa.state.nm.us/infrastructure-planning-and-development-division/federal-grants-bureau/" TargetMode="External"/><Relationship Id="rId20" Type="http://schemas.openxmlformats.org/officeDocument/2006/relationships/hyperlink" Target="mailto:FederalGrant.Bureau@dfa.nm.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mdfa.state.nm.us/financial-control/resource-information/manu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1626c2-2fca-40e9-a81a-75b500ceb43c">
      <Terms xmlns="http://schemas.microsoft.com/office/infopath/2007/PartnerControls"/>
    </lcf76f155ced4ddcb4097134ff3c332f>
    <TaxCatchAll xmlns="6d2c0709-9aa1-4f20-b37e-a7e8f21f30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FB65E3756D8E43B92C5D0D64DBA3D3" ma:contentTypeVersion="14" ma:contentTypeDescription="Create a new document." ma:contentTypeScope="" ma:versionID="82813697c89a33222a045eed0ba5e5fd">
  <xsd:schema xmlns:xsd="http://www.w3.org/2001/XMLSchema" xmlns:xs="http://www.w3.org/2001/XMLSchema" xmlns:p="http://schemas.microsoft.com/office/2006/metadata/properties" xmlns:ns2="3b1626c2-2fca-40e9-a81a-75b500ceb43c" xmlns:ns3="6d2c0709-9aa1-4f20-b37e-a7e8f21f30d0" targetNamespace="http://schemas.microsoft.com/office/2006/metadata/properties" ma:root="true" ma:fieldsID="c1b16d5a389c72105302893e261e8728" ns2:_="" ns3:_="">
    <xsd:import namespace="3b1626c2-2fca-40e9-a81a-75b500ceb43c"/>
    <xsd:import namespace="6d2c0709-9aa1-4f20-b37e-a7e8f21f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26c2-2fca-40e9-a81a-75b500ceb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c0709-9aa1-4f20-b37e-a7e8f21f30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d1c781-3621-49db-a26d-c221256dd612}" ma:internalName="TaxCatchAll" ma:showField="CatchAllData" ma:web="6d2c0709-9aa1-4f20-b37e-a7e8f21f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4055E-28E7-41BD-9E84-4D89E21ABBED}">
  <ds:schemaRefs>
    <ds:schemaRef ds:uri="http://schemas.microsoft.com/office/2006/metadata/properties"/>
    <ds:schemaRef ds:uri="http://schemas.microsoft.com/office/infopath/2007/PartnerControls"/>
    <ds:schemaRef ds:uri="3b1626c2-2fca-40e9-a81a-75b500ceb43c"/>
    <ds:schemaRef ds:uri="6d2c0709-9aa1-4f20-b37e-a7e8f21f30d0"/>
  </ds:schemaRefs>
</ds:datastoreItem>
</file>

<file path=customXml/itemProps2.xml><?xml version="1.0" encoding="utf-8"?>
<ds:datastoreItem xmlns:ds="http://schemas.openxmlformats.org/officeDocument/2006/customXml" ds:itemID="{8B816B15-237F-4AE0-930E-15E11D5D4CBB}">
  <ds:schemaRefs>
    <ds:schemaRef ds:uri="http://schemas.microsoft.com/sharepoint/v3/contenttype/forms"/>
  </ds:schemaRefs>
</ds:datastoreItem>
</file>

<file path=customXml/itemProps3.xml><?xml version="1.0" encoding="utf-8"?>
<ds:datastoreItem xmlns:ds="http://schemas.openxmlformats.org/officeDocument/2006/customXml" ds:itemID="{3CF9EAE4-24EA-43B8-B404-E458FD4ED1CF}">
  <ds:schemaRefs>
    <ds:schemaRef ds:uri="http://schemas.openxmlformats.org/officeDocument/2006/bibliography"/>
  </ds:schemaRefs>
</ds:datastoreItem>
</file>

<file path=customXml/itemProps4.xml><?xml version="1.0" encoding="utf-8"?>
<ds:datastoreItem xmlns:ds="http://schemas.openxmlformats.org/officeDocument/2006/customXml" ds:itemID="{9265F197-CA6F-4135-9E6B-500C3DB56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626c2-2fca-40e9-a81a-75b500ceb43c"/>
    <ds:schemaRef ds:uri="6d2c0709-9aa1-4f20-b37e-a7e8f21f3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8538</Words>
  <Characters>48669</Characters>
  <Application>Microsoft Office Word</Application>
  <DocSecurity>0</DocSecurity>
  <Lines>405</Lines>
  <Paragraphs>114</Paragraphs>
  <ScaleCrop>false</ScaleCrop>
  <Company/>
  <LinksUpToDate>false</LinksUpToDate>
  <CharactersWithSpaces>57093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LeAndra, DFA</dc:creator>
  <cp:keywords/>
  <dc:description/>
  <cp:lastModifiedBy>King, Kim, DFA</cp:lastModifiedBy>
  <cp:revision>529</cp:revision>
  <dcterms:created xsi:type="dcterms:W3CDTF">2026-03-04T20:49:00Z</dcterms:created>
  <dcterms:modified xsi:type="dcterms:W3CDTF">2026-04-21T21:09:00Z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Acrobat PDFMaker 25 for Word</vt:lpwstr>
  </property>
  <property fmtid="{D5CDD505-2E9C-101B-9397-08002B2CF9AE}" pid="4" name="LastSaved">
    <vt:filetime>2026-01-23T00:00:00Z</vt:filetime>
  </property>
  <property fmtid="{D5CDD505-2E9C-101B-9397-08002B2CF9AE}" pid="5" name="Producer">
    <vt:lpwstr>Adobe PDF Library 25.1.5</vt:lpwstr>
  </property>
  <property fmtid="{D5CDD505-2E9C-101B-9397-08002B2CF9AE}" pid="6" name="SourceModified">
    <vt:lpwstr>D:20260109203803</vt:lpwstr>
  </property>
  <property fmtid="{D5CDD505-2E9C-101B-9397-08002B2CF9AE}" pid="7" name="ContentTypeId">
    <vt:lpwstr>0x01010049FB65E3756D8E43B92C5D0D64DBA3D3</vt:lpwstr>
  </property>
  <property fmtid="{D5CDD505-2E9C-101B-9397-08002B2CF9AE}" pid="8" name="MediaServiceImageTags">
    <vt:lpwstr/>
  </property>
  <property fmtid="{D5CDD505-2E9C-101B-9397-08002B2CF9AE}" pid="9" name="GrammarlyDocumentId">
    <vt:lpwstr>8888abe4-890f-45bd-9d5b-769efdac7080</vt:lpwstr>
  </property>
</Properties>
</file>