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F75" w:rsidRPr="00A26AE3" w:rsidRDefault="00E42F75" w:rsidP="00A26AE3">
      <w:pPr>
        <w:jc w:val="center"/>
        <w:rPr>
          <w:b/>
          <w:sz w:val="30"/>
          <w:szCs w:val="30"/>
        </w:rPr>
      </w:pPr>
      <w:bookmarkStart w:id="0" w:name="_GoBack"/>
      <w:bookmarkEnd w:id="0"/>
      <w:r w:rsidRPr="00A26AE3">
        <w:rPr>
          <w:b/>
          <w:sz w:val="30"/>
          <w:szCs w:val="30"/>
        </w:rPr>
        <w:t>November 2020 Budget Conference - Frequently Asked Questions (FAQ)</w:t>
      </w:r>
    </w:p>
    <w:p w:rsidR="00E42F75" w:rsidRDefault="00E42F75" w:rsidP="00E42F75">
      <w:pPr>
        <w:pStyle w:val="ListParagraph"/>
        <w:rPr>
          <w:b/>
          <w:i/>
          <w:sz w:val="28"/>
          <w:szCs w:val="28"/>
        </w:rPr>
      </w:pPr>
      <w:r>
        <w:rPr>
          <w:b/>
          <w:sz w:val="28"/>
          <w:szCs w:val="28"/>
        </w:rPr>
        <w:t xml:space="preserve">Training Session:  </w:t>
      </w:r>
      <w:r w:rsidR="00B406AE">
        <w:rPr>
          <w:b/>
          <w:i/>
          <w:sz w:val="28"/>
          <w:szCs w:val="28"/>
        </w:rPr>
        <w:t>Budgeting</w:t>
      </w:r>
      <w:r w:rsidR="00766993">
        <w:rPr>
          <w:b/>
          <w:i/>
          <w:sz w:val="28"/>
          <w:szCs w:val="28"/>
        </w:rPr>
        <w:t xml:space="preserve"> for Special Districts</w:t>
      </w:r>
    </w:p>
    <w:p w:rsidR="00E42F75" w:rsidRDefault="00E42F75" w:rsidP="00E42F75">
      <w:pPr>
        <w:pStyle w:val="ListParagraph"/>
        <w:rPr>
          <w:b/>
          <w:i/>
          <w:sz w:val="28"/>
          <w:szCs w:val="28"/>
        </w:rPr>
      </w:pPr>
    </w:p>
    <w:p w:rsidR="00B406AE" w:rsidRDefault="00B406AE" w:rsidP="00B406AE">
      <w:pPr>
        <w:pStyle w:val="ListParagraph"/>
        <w:numPr>
          <w:ilvl w:val="0"/>
          <w:numId w:val="31"/>
        </w:numPr>
      </w:pPr>
      <w:r w:rsidRPr="00B406AE">
        <w:rPr>
          <w:b/>
          <w:color w:val="2F5496" w:themeColor="accent5" w:themeShade="BF"/>
        </w:rPr>
        <w:t>If we have to budget for a vehicle in the amount of $50K, I am assuming we have to put it on the budget form in vehicle expense even though it would be booked to the balance sheet as an asset.</w:t>
      </w:r>
      <w:r>
        <w:rPr>
          <w:b/>
          <w:color w:val="2F5496" w:themeColor="accent5" w:themeShade="BF"/>
        </w:rPr>
        <w:t xml:space="preserve"> </w:t>
      </w:r>
      <w:r w:rsidRPr="00B406AE">
        <w:rPr>
          <w:b/>
          <w:color w:val="2F5496" w:themeColor="accent5" w:themeShade="BF"/>
        </w:rPr>
        <w:t>And it would also have to be included on the quarterly report in the expenditures area?</w:t>
      </w:r>
    </w:p>
    <w:p w:rsidR="00A26AE3" w:rsidRPr="00766993" w:rsidRDefault="00766993" w:rsidP="00766993">
      <w:pPr>
        <w:pStyle w:val="ListParagraph"/>
        <w:numPr>
          <w:ilvl w:val="0"/>
          <w:numId w:val="35"/>
        </w:numPr>
        <w:jc w:val="both"/>
      </w:pPr>
      <w:r>
        <w:t>Yes, you will need to e</w:t>
      </w:r>
      <w:r w:rsidR="002A55FE" w:rsidRPr="00766993">
        <w:t>xpend the cost of the vehicle as the event occurs as required by the cash basis of accounting.</w:t>
      </w:r>
      <w:r>
        <w:t xml:space="preserve">  Also make sure to post any necessary balance sheet entries to recognize the vehicle as an asset and to update your inventory list.</w:t>
      </w:r>
    </w:p>
    <w:p w:rsidR="00A26AE3" w:rsidRPr="00E42F75" w:rsidRDefault="00A26AE3" w:rsidP="00A26AE3">
      <w:pPr>
        <w:pStyle w:val="ListParagraph"/>
        <w:ind w:left="1080"/>
        <w:jc w:val="both"/>
        <w:rPr>
          <w:b/>
        </w:rPr>
      </w:pPr>
    </w:p>
    <w:p w:rsidR="00E42F75" w:rsidRPr="00B406AE" w:rsidRDefault="00E42F75" w:rsidP="00B406AE">
      <w:pPr>
        <w:pStyle w:val="ListParagraph"/>
        <w:numPr>
          <w:ilvl w:val="0"/>
          <w:numId w:val="31"/>
        </w:numPr>
        <w:jc w:val="both"/>
        <w:rPr>
          <w:b/>
          <w:color w:val="2F5496" w:themeColor="accent5" w:themeShade="BF"/>
        </w:rPr>
      </w:pPr>
      <w:r w:rsidRPr="00B406AE">
        <w:rPr>
          <w:b/>
          <w:color w:val="2F5496" w:themeColor="accent5" w:themeShade="BF"/>
        </w:rPr>
        <w:lastRenderedPageBreak/>
        <w:t xml:space="preserve"> </w:t>
      </w:r>
      <w:r w:rsidR="00B406AE" w:rsidRPr="00B406AE">
        <w:rPr>
          <w:b/>
          <w:color w:val="2F5496" w:themeColor="accent5" w:themeShade="BF"/>
        </w:rPr>
        <w:t>Are there any expected impacts on property tax collection?</w:t>
      </w:r>
    </w:p>
    <w:p w:rsidR="00A26AE3" w:rsidRDefault="00A26AE3" w:rsidP="00A26AE3">
      <w:pPr>
        <w:pStyle w:val="ListParagraph"/>
        <w:jc w:val="both"/>
      </w:pPr>
    </w:p>
    <w:p w:rsidR="00E42F75" w:rsidRPr="00766993" w:rsidRDefault="002A55FE" w:rsidP="00B406AE">
      <w:pPr>
        <w:pStyle w:val="ListParagraph"/>
        <w:numPr>
          <w:ilvl w:val="0"/>
          <w:numId w:val="25"/>
        </w:numPr>
        <w:jc w:val="both"/>
      </w:pPr>
      <w:r w:rsidRPr="00766993">
        <w:t xml:space="preserve">Expected impacts on property taxes should be forecasted </w:t>
      </w:r>
      <w:r w:rsidR="00766993">
        <w:t xml:space="preserve">based on any local information you are aware of, </w:t>
      </w:r>
      <w:r w:rsidRPr="00766993">
        <w:t xml:space="preserve">but any specific impacts on property tax collection can also be discussed with </w:t>
      </w:r>
      <w:r w:rsidR="00766993">
        <w:t xml:space="preserve">your </w:t>
      </w:r>
      <w:r w:rsidRPr="00766993">
        <w:t>County Treasurer’s Office.</w:t>
      </w:r>
    </w:p>
    <w:p w:rsidR="00A26AE3" w:rsidRPr="00A26AE3" w:rsidRDefault="00A26AE3" w:rsidP="00A26AE3">
      <w:pPr>
        <w:pStyle w:val="ListParagraph"/>
        <w:ind w:left="1080"/>
        <w:jc w:val="both"/>
        <w:rPr>
          <w:b/>
        </w:rPr>
      </w:pPr>
    </w:p>
    <w:p w:rsidR="00B406AE" w:rsidRPr="00B406AE" w:rsidRDefault="00B406AE" w:rsidP="00B406AE">
      <w:pPr>
        <w:pStyle w:val="ListParagraph"/>
        <w:numPr>
          <w:ilvl w:val="0"/>
          <w:numId w:val="31"/>
        </w:numPr>
        <w:jc w:val="both"/>
        <w:rPr>
          <w:b/>
          <w:color w:val="2F5496" w:themeColor="accent5" w:themeShade="BF"/>
        </w:rPr>
      </w:pPr>
      <w:r w:rsidRPr="00B406AE">
        <w:rPr>
          <w:b/>
          <w:color w:val="2F5496" w:themeColor="accent5" w:themeShade="BF"/>
        </w:rPr>
        <w:t>Is it possible to enter the Total Intergov Grant Revenue line item from the Revenue Form to the Quarterly Reporting Option 1 form?</w:t>
      </w:r>
    </w:p>
    <w:p w:rsidR="00A26AE3" w:rsidRDefault="00A26AE3" w:rsidP="00A26AE3">
      <w:pPr>
        <w:pStyle w:val="ListParagraph"/>
        <w:jc w:val="both"/>
      </w:pPr>
    </w:p>
    <w:p w:rsidR="00E42F75" w:rsidRPr="00766993" w:rsidRDefault="00E42F75" w:rsidP="00A26AE3">
      <w:pPr>
        <w:pStyle w:val="ListParagraph"/>
        <w:numPr>
          <w:ilvl w:val="0"/>
          <w:numId w:val="12"/>
        </w:numPr>
        <w:jc w:val="both"/>
      </w:pPr>
      <w:r w:rsidRPr="00A26AE3">
        <w:rPr>
          <w:b/>
        </w:rPr>
        <w:t xml:space="preserve"> </w:t>
      </w:r>
      <w:r w:rsidR="002A55FE" w:rsidRPr="00766993">
        <w:t xml:space="preserve">Yes, this is possible and your </w:t>
      </w:r>
      <w:r w:rsidR="00766993">
        <w:t>assigned LGD Budget and Finance A</w:t>
      </w:r>
      <w:r w:rsidR="002A55FE" w:rsidRPr="00766993">
        <w:t>nalyst can help you with this but it may be easier to just fill out an option 2 budget form.</w:t>
      </w:r>
    </w:p>
    <w:p w:rsidR="00A26AE3" w:rsidRPr="00A26AE3" w:rsidRDefault="00A26AE3" w:rsidP="00A26AE3">
      <w:pPr>
        <w:pStyle w:val="ListParagraph"/>
        <w:ind w:left="1080"/>
        <w:jc w:val="both"/>
        <w:rPr>
          <w:b/>
        </w:rPr>
      </w:pPr>
    </w:p>
    <w:p w:rsidR="00B406AE" w:rsidRPr="00766993" w:rsidRDefault="00B406AE" w:rsidP="00B406AE">
      <w:pPr>
        <w:pStyle w:val="ListParagraph"/>
        <w:numPr>
          <w:ilvl w:val="0"/>
          <w:numId w:val="31"/>
        </w:numPr>
        <w:rPr>
          <w:b/>
          <w:color w:val="2F5496" w:themeColor="accent5" w:themeShade="BF"/>
        </w:rPr>
      </w:pPr>
      <w:r w:rsidRPr="00B406AE">
        <w:rPr>
          <w:b/>
          <w:color w:val="2F5496" w:themeColor="accent5" w:themeShade="BF"/>
        </w:rPr>
        <w:t>When providing the quarterly reporting, should we include the option 1 and also option 2 if there is an accrual to cash adjustment?</w:t>
      </w:r>
      <w:r w:rsidR="00E42F75" w:rsidRPr="00B406AE">
        <w:rPr>
          <w:b/>
          <w:color w:val="2F5496" w:themeColor="accent5" w:themeShade="BF"/>
        </w:rPr>
        <w:t xml:space="preserve"> </w:t>
      </w:r>
      <w:r w:rsidRPr="00766993">
        <w:rPr>
          <w:b/>
          <w:color w:val="2F5496" w:themeColor="accent5" w:themeShade="BF"/>
        </w:rPr>
        <w:t>How many pages?</w:t>
      </w:r>
    </w:p>
    <w:p w:rsidR="002A55FE" w:rsidRDefault="002A55FE" w:rsidP="002A55FE">
      <w:pPr>
        <w:pStyle w:val="ListParagraph"/>
      </w:pPr>
    </w:p>
    <w:p w:rsidR="00B406AE" w:rsidRPr="00766993" w:rsidRDefault="002A55FE" w:rsidP="002A55FE">
      <w:pPr>
        <w:pStyle w:val="ListParagraph"/>
        <w:numPr>
          <w:ilvl w:val="0"/>
          <w:numId w:val="32"/>
        </w:numPr>
        <w:jc w:val="both"/>
      </w:pPr>
      <w:r w:rsidRPr="00766993">
        <w:t>No, there is no need to include an option 1 if you’ve already submitted an option 2 and vice versa.</w:t>
      </w:r>
      <w:r w:rsidR="00582AB1">
        <w:t xml:space="preserve">  Accrual to cash adjustments will be reported under the “adjustments” column on the Recap page, or contact your LGD Budget and Finance Analyst for guidance.</w:t>
      </w:r>
    </w:p>
    <w:p w:rsidR="004758A2" w:rsidRPr="004758A2" w:rsidRDefault="004758A2" w:rsidP="004758A2">
      <w:pPr>
        <w:pStyle w:val="ListParagraph"/>
        <w:ind w:left="1080"/>
        <w:jc w:val="both"/>
        <w:rPr>
          <w:b/>
        </w:rPr>
      </w:pPr>
    </w:p>
    <w:p w:rsidR="00A26AE3" w:rsidRPr="00B406AE" w:rsidRDefault="00B406AE" w:rsidP="00B406AE">
      <w:pPr>
        <w:pStyle w:val="ListParagraph"/>
        <w:numPr>
          <w:ilvl w:val="0"/>
          <w:numId w:val="31"/>
        </w:numPr>
        <w:rPr>
          <w:b/>
          <w:color w:val="2F5496" w:themeColor="accent5" w:themeShade="BF"/>
        </w:rPr>
      </w:pPr>
      <w:r w:rsidRPr="00B406AE">
        <w:rPr>
          <w:b/>
          <w:color w:val="2F5496" w:themeColor="accent5" w:themeShade="BF"/>
        </w:rPr>
        <w:t>We currently report a Special District fund in Budget and Report Recaps with DFA fund 79900 - Other Trust &amp; Agency line items. Does a Special Distr</w:t>
      </w:r>
      <w:r w:rsidR="002A55FE">
        <w:rPr>
          <w:b/>
          <w:color w:val="2F5496" w:themeColor="accent5" w:themeShade="BF"/>
        </w:rPr>
        <w:t>ict Form, Option 2, still need</w:t>
      </w:r>
      <w:r w:rsidRPr="00B406AE">
        <w:rPr>
          <w:b/>
          <w:color w:val="2F5496" w:themeColor="accent5" w:themeShade="BF"/>
        </w:rPr>
        <w:t xml:space="preserve"> to be prepared and submitted?</w:t>
      </w:r>
    </w:p>
    <w:p w:rsidR="002A55FE" w:rsidRDefault="002A55FE" w:rsidP="00B406AE">
      <w:pPr>
        <w:pStyle w:val="ListParagraph"/>
      </w:pPr>
    </w:p>
    <w:p w:rsidR="00B406AE" w:rsidRPr="00582AB1" w:rsidRDefault="002A55FE" w:rsidP="002A55FE">
      <w:pPr>
        <w:pStyle w:val="ListParagraph"/>
        <w:numPr>
          <w:ilvl w:val="0"/>
          <w:numId w:val="33"/>
        </w:numPr>
      </w:pPr>
      <w:r w:rsidRPr="00582AB1">
        <w:lastRenderedPageBreak/>
        <w:t xml:space="preserve">There is no need to include both options it is an either/or scenario.  If you need to edit a line item for another fund your assigned </w:t>
      </w:r>
      <w:r w:rsidR="00582AB1">
        <w:t>LGD Budget and Finance A</w:t>
      </w:r>
      <w:r w:rsidRPr="00582AB1">
        <w:t>nalyst can assist you with this.</w:t>
      </w:r>
    </w:p>
    <w:p w:rsidR="00B406AE" w:rsidRPr="00B406AE" w:rsidRDefault="00B406AE" w:rsidP="00B406AE">
      <w:pPr>
        <w:pStyle w:val="ListParagraph"/>
        <w:rPr>
          <w:b/>
          <w:color w:val="2F5496" w:themeColor="accent5" w:themeShade="BF"/>
        </w:rPr>
      </w:pPr>
    </w:p>
    <w:p w:rsidR="00A26AE3" w:rsidRPr="00A26AE3" w:rsidRDefault="00A26AE3" w:rsidP="00B406AE">
      <w:pPr>
        <w:pStyle w:val="ListParagraph"/>
        <w:numPr>
          <w:ilvl w:val="0"/>
          <w:numId w:val="31"/>
        </w:numPr>
        <w:jc w:val="both"/>
        <w:rPr>
          <w:b/>
          <w:color w:val="2F5496" w:themeColor="accent5" w:themeShade="BF"/>
        </w:rPr>
      </w:pPr>
      <w:r w:rsidRPr="00A26AE3">
        <w:rPr>
          <w:b/>
          <w:color w:val="2F5496" w:themeColor="accent5" w:themeShade="BF"/>
        </w:rPr>
        <w:t>C</w:t>
      </w:r>
      <w:r w:rsidR="00E42F75" w:rsidRPr="00A26AE3">
        <w:rPr>
          <w:b/>
          <w:color w:val="2F5496" w:themeColor="accent5" w:themeShade="BF"/>
        </w:rPr>
        <w:t>an you talk about use of and planning for reserve - recommended amount for reserve?</w:t>
      </w:r>
    </w:p>
    <w:p w:rsidR="00A26AE3" w:rsidRDefault="00A26AE3" w:rsidP="00A26AE3">
      <w:pPr>
        <w:pStyle w:val="ListParagraph"/>
        <w:jc w:val="both"/>
      </w:pPr>
    </w:p>
    <w:p w:rsidR="00A26AE3" w:rsidRPr="00582AB1" w:rsidRDefault="00E42F75" w:rsidP="00A26AE3">
      <w:pPr>
        <w:pStyle w:val="ListParagraph"/>
        <w:numPr>
          <w:ilvl w:val="0"/>
          <w:numId w:val="15"/>
        </w:numPr>
        <w:jc w:val="both"/>
      </w:pPr>
      <w:r w:rsidRPr="00582AB1">
        <w:t xml:space="preserve">At this time there are no </w:t>
      </w:r>
      <w:r w:rsidR="00582AB1">
        <w:t xml:space="preserve">state </w:t>
      </w:r>
      <w:r w:rsidRPr="00582AB1">
        <w:t>requirements for reserves for special districts. It is solely up to</w:t>
      </w:r>
      <w:r w:rsidR="00582AB1">
        <w:t xml:space="preserve"> each</w:t>
      </w:r>
      <w:r w:rsidRPr="00582AB1">
        <w:t xml:space="preserve"> </w:t>
      </w:r>
      <w:r w:rsidR="00582AB1">
        <w:t>s</w:t>
      </w:r>
      <w:r w:rsidRPr="00582AB1">
        <w:t>pecial districts</w:t>
      </w:r>
      <w:r w:rsidR="00582AB1">
        <w:t>’</w:t>
      </w:r>
      <w:r w:rsidRPr="00582AB1">
        <w:t xml:space="preserve"> governing body </w:t>
      </w:r>
      <w:r w:rsidR="00582AB1">
        <w:t>to determine if a locally imposed reserve is needed.  As a guidepost, the state required reserve for municipalities is 1/12</w:t>
      </w:r>
      <w:r w:rsidR="00582AB1" w:rsidRPr="00582AB1">
        <w:rPr>
          <w:vertAlign w:val="superscript"/>
        </w:rPr>
        <w:t>th</w:t>
      </w:r>
      <w:r w:rsidR="00582AB1">
        <w:t xml:space="preserve"> (or one month’s worth) of annual expenditures</w:t>
      </w:r>
      <w:r w:rsidRPr="00582AB1">
        <w:t xml:space="preserve">. </w:t>
      </w:r>
    </w:p>
    <w:p w:rsidR="00B406AE" w:rsidRDefault="00B406AE" w:rsidP="00744CCB"/>
    <w:p w:rsidR="00B406AE" w:rsidRDefault="00B406AE" w:rsidP="00B406AE">
      <w:pPr>
        <w:pStyle w:val="ListParagraph"/>
        <w:numPr>
          <w:ilvl w:val="0"/>
          <w:numId w:val="31"/>
        </w:numPr>
      </w:pPr>
      <w:r w:rsidRPr="00B406AE">
        <w:rPr>
          <w:b/>
          <w:color w:val="2F5496" w:themeColor="accent5" w:themeShade="BF"/>
        </w:rPr>
        <w:t>What is the purpose of a resolution?</w:t>
      </w:r>
    </w:p>
    <w:p w:rsidR="00B406AE" w:rsidRDefault="00B406AE" w:rsidP="00B406AE">
      <w:pPr>
        <w:pStyle w:val="ListParagraph"/>
      </w:pPr>
    </w:p>
    <w:p w:rsidR="002A55FE" w:rsidRPr="00582AB1" w:rsidRDefault="002A55FE" w:rsidP="002A55FE">
      <w:pPr>
        <w:pStyle w:val="ListParagraph"/>
        <w:numPr>
          <w:ilvl w:val="0"/>
          <w:numId w:val="34"/>
        </w:numPr>
      </w:pPr>
      <w:r w:rsidRPr="00582AB1">
        <w:lastRenderedPageBreak/>
        <w:t xml:space="preserve">A </w:t>
      </w:r>
      <w:r w:rsidR="00582AB1">
        <w:t xml:space="preserve">governing body </w:t>
      </w:r>
      <w:r w:rsidRPr="00582AB1">
        <w:t xml:space="preserve">resolution is a requirement </w:t>
      </w:r>
      <w:r w:rsidR="00582AB1">
        <w:t>so that LGD can determine statutory compliance.  Because the governing body serves in the capacity of the board of finance for their special district, documents submitted for LGD approval (such as budgets, budget adjustment requests that change the Fund level, and 4</w:t>
      </w:r>
      <w:r w:rsidR="00582AB1" w:rsidRPr="00582AB1">
        <w:rPr>
          <w:vertAlign w:val="superscript"/>
        </w:rPr>
        <w:t>th</w:t>
      </w:r>
      <w:r w:rsidR="00582AB1">
        <w:t xml:space="preserve"> Quarter financial report) must be accompanied by a resolution to show </w:t>
      </w:r>
      <w:r w:rsidRPr="00582AB1">
        <w:t>governing body</w:t>
      </w:r>
      <w:r w:rsidR="00582AB1">
        <w:t>’s app</w:t>
      </w:r>
      <w:r w:rsidRPr="00582AB1">
        <w:t>roval.</w:t>
      </w:r>
    </w:p>
    <w:p w:rsidR="00CE7DE4" w:rsidRPr="00CE7DE4" w:rsidRDefault="00CE7DE4" w:rsidP="00B406AE">
      <w:pPr>
        <w:jc w:val="both"/>
      </w:pPr>
    </w:p>
    <w:sectPr w:rsidR="00CE7DE4" w:rsidRPr="00CE7DE4" w:rsidSect="00CE7DE4">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7493"/>
    <w:multiLevelType w:val="hybridMultilevel"/>
    <w:tmpl w:val="23CA867C"/>
    <w:lvl w:ilvl="0" w:tplc="92AC7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0367D"/>
    <w:multiLevelType w:val="hybridMultilevel"/>
    <w:tmpl w:val="F23C800E"/>
    <w:lvl w:ilvl="0" w:tplc="F3A82F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42A8E"/>
    <w:multiLevelType w:val="hybridMultilevel"/>
    <w:tmpl w:val="7304EF92"/>
    <w:lvl w:ilvl="0" w:tplc="5CE8C2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815ED8"/>
    <w:multiLevelType w:val="hybridMultilevel"/>
    <w:tmpl w:val="387C36DE"/>
    <w:lvl w:ilvl="0" w:tplc="7044690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AE2824"/>
    <w:multiLevelType w:val="hybridMultilevel"/>
    <w:tmpl w:val="66043A34"/>
    <w:lvl w:ilvl="0" w:tplc="7E641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907E3D"/>
    <w:multiLevelType w:val="hybridMultilevel"/>
    <w:tmpl w:val="69345C5C"/>
    <w:lvl w:ilvl="0" w:tplc="278C6B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F2FCB"/>
    <w:multiLevelType w:val="hybridMultilevel"/>
    <w:tmpl w:val="8056045A"/>
    <w:lvl w:ilvl="0" w:tplc="2B48F61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D927FD"/>
    <w:multiLevelType w:val="hybridMultilevel"/>
    <w:tmpl w:val="99C6DF82"/>
    <w:lvl w:ilvl="0" w:tplc="ED5699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A2486C"/>
    <w:multiLevelType w:val="hybridMultilevel"/>
    <w:tmpl w:val="01B0101A"/>
    <w:lvl w:ilvl="0" w:tplc="403A6902">
      <w:start w:val="1"/>
      <w:numFmt w:val="upperLetter"/>
      <w:lvlText w:val="%1."/>
      <w:lvlJc w:val="left"/>
      <w:pPr>
        <w:ind w:left="1440" w:hanging="360"/>
      </w:pPr>
      <w:rPr>
        <w:rFonts w:hint="default"/>
        <w:color w:val="2F5496" w:themeColor="accent5"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4B2BBD"/>
    <w:multiLevelType w:val="hybridMultilevel"/>
    <w:tmpl w:val="9C5E3028"/>
    <w:lvl w:ilvl="0" w:tplc="8D7C5E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B20972"/>
    <w:multiLevelType w:val="hybridMultilevel"/>
    <w:tmpl w:val="AEA44696"/>
    <w:lvl w:ilvl="0" w:tplc="FF5E3D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6C7BDD"/>
    <w:multiLevelType w:val="hybridMultilevel"/>
    <w:tmpl w:val="AF26F848"/>
    <w:lvl w:ilvl="0" w:tplc="4C12CBB0">
      <w:start w:val="1"/>
      <w:numFmt w:val="decimal"/>
      <w:lvlText w:val="%1."/>
      <w:lvlJc w:val="left"/>
      <w:pPr>
        <w:ind w:left="1080" w:hanging="360"/>
      </w:pPr>
      <w:rPr>
        <w:rFonts w:hint="default"/>
        <w:color w:val="2F5496" w:themeColor="accent5"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AA4943"/>
    <w:multiLevelType w:val="hybridMultilevel"/>
    <w:tmpl w:val="863C2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85DDA"/>
    <w:multiLevelType w:val="hybridMultilevel"/>
    <w:tmpl w:val="8858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6356A"/>
    <w:multiLevelType w:val="hybridMultilevel"/>
    <w:tmpl w:val="0D0CE9E4"/>
    <w:lvl w:ilvl="0" w:tplc="278C6B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4D4D43"/>
    <w:multiLevelType w:val="hybridMultilevel"/>
    <w:tmpl w:val="7CFC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A1038"/>
    <w:multiLevelType w:val="hybridMultilevel"/>
    <w:tmpl w:val="4A4CC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57BF7"/>
    <w:multiLevelType w:val="hybridMultilevel"/>
    <w:tmpl w:val="372C2152"/>
    <w:lvl w:ilvl="0" w:tplc="72F251BE">
      <w:start w:val="1"/>
      <w:numFmt w:val="decimal"/>
      <w:lvlText w:val="%1."/>
      <w:lvlJc w:val="left"/>
      <w:pPr>
        <w:ind w:left="1350" w:hanging="360"/>
      </w:pPr>
      <w:rPr>
        <w:rFonts w:hint="default"/>
        <w:b/>
        <w:color w:val="2F5496" w:themeColor="accent5" w:themeShade="BF"/>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4BC75048"/>
    <w:multiLevelType w:val="hybridMultilevel"/>
    <w:tmpl w:val="091CBA72"/>
    <w:lvl w:ilvl="0" w:tplc="48D696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7B1A55"/>
    <w:multiLevelType w:val="hybridMultilevel"/>
    <w:tmpl w:val="7C0074F0"/>
    <w:lvl w:ilvl="0" w:tplc="F0E29FB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1C24B0D"/>
    <w:multiLevelType w:val="hybridMultilevel"/>
    <w:tmpl w:val="7DC0AC7C"/>
    <w:lvl w:ilvl="0" w:tplc="20002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5B7768"/>
    <w:multiLevelType w:val="hybridMultilevel"/>
    <w:tmpl w:val="70887FBC"/>
    <w:lvl w:ilvl="0" w:tplc="ABCC57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A8372D"/>
    <w:multiLevelType w:val="hybridMultilevel"/>
    <w:tmpl w:val="1B945146"/>
    <w:lvl w:ilvl="0" w:tplc="AF4208C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DD20836"/>
    <w:multiLevelType w:val="hybridMultilevel"/>
    <w:tmpl w:val="B5CA78F6"/>
    <w:lvl w:ilvl="0" w:tplc="C942A3D6">
      <w:start w:val="1"/>
      <w:numFmt w:val="upperLetter"/>
      <w:lvlText w:val="%1."/>
      <w:lvlJc w:val="left"/>
      <w:pPr>
        <w:ind w:left="1080" w:hanging="360"/>
      </w:pPr>
      <w:rPr>
        <w:rFonts w:hint="default"/>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CC35CD"/>
    <w:multiLevelType w:val="hybridMultilevel"/>
    <w:tmpl w:val="D16837D4"/>
    <w:lvl w:ilvl="0" w:tplc="E3B4EA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EE3BD5"/>
    <w:multiLevelType w:val="hybridMultilevel"/>
    <w:tmpl w:val="EF4848E2"/>
    <w:lvl w:ilvl="0" w:tplc="5E4E5064">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28712CA"/>
    <w:multiLevelType w:val="hybridMultilevel"/>
    <w:tmpl w:val="11983486"/>
    <w:lvl w:ilvl="0" w:tplc="2EA4AB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1A06A9"/>
    <w:multiLevelType w:val="hybridMultilevel"/>
    <w:tmpl w:val="8CB0D53C"/>
    <w:lvl w:ilvl="0" w:tplc="57DAB0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163BBF"/>
    <w:multiLevelType w:val="hybridMultilevel"/>
    <w:tmpl w:val="19A08664"/>
    <w:lvl w:ilvl="0" w:tplc="54F826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9C16B5"/>
    <w:multiLevelType w:val="hybridMultilevel"/>
    <w:tmpl w:val="270A2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E0AAA"/>
    <w:multiLevelType w:val="hybridMultilevel"/>
    <w:tmpl w:val="0D0CE9E4"/>
    <w:lvl w:ilvl="0" w:tplc="278C6B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337A68"/>
    <w:multiLevelType w:val="hybridMultilevel"/>
    <w:tmpl w:val="A70E7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8150FF"/>
    <w:multiLevelType w:val="hybridMultilevel"/>
    <w:tmpl w:val="76BCAAF2"/>
    <w:lvl w:ilvl="0" w:tplc="9C2483A2">
      <w:start w:val="1"/>
      <w:numFmt w:val="decimal"/>
      <w:lvlText w:val="%1."/>
      <w:lvlJc w:val="left"/>
      <w:pPr>
        <w:ind w:left="720" w:hanging="360"/>
      </w:pPr>
      <w:rPr>
        <w:rFonts w:hint="default"/>
        <w:b/>
        <w:color w:val="2F5496"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760614"/>
    <w:multiLevelType w:val="hybridMultilevel"/>
    <w:tmpl w:val="02664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3460A5"/>
    <w:multiLevelType w:val="hybridMultilevel"/>
    <w:tmpl w:val="79B6C470"/>
    <w:lvl w:ilvl="0" w:tplc="C436F49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12"/>
  </w:num>
  <w:num w:numId="3">
    <w:abstractNumId w:val="31"/>
  </w:num>
  <w:num w:numId="4">
    <w:abstractNumId w:val="24"/>
  </w:num>
  <w:num w:numId="5">
    <w:abstractNumId w:val="23"/>
  </w:num>
  <w:num w:numId="6">
    <w:abstractNumId w:val="0"/>
  </w:num>
  <w:num w:numId="7">
    <w:abstractNumId w:val="27"/>
  </w:num>
  <w:num w:numId="8">
    <w:abstractNumId w:val="33"/>
  </w:num>
  <w:num w:numId="9">
    <w:abstractNumId w:val="15"/>
  </w:num>
  <w:num w:numId="10">
    <w:abstractNumId w:val="2"/>
  </w:num>
  <w:num w:numId="11">
    <w:abstractNumId w:val="21"/>
  </w:num>
  <w:num w:numId="12">
    <w:abstractNumId w:val="30"/>
  </w:num>
  <w:num w:numId="13">
    <w:abstractNumId w:val="7"/>
  </w:num>
  <w:num w:numId="14">
    <w:abstractNumId w:val="18"/>
  </w:num>
  <w:num w:numId="15">
    <w:abstractNumId w:val="3"/>
  </w:num>
  <w:num w:numId="16">
    <w:abstractNumId w:val="26"/>
  </w:num>
  <w:num w:numId="17">
    <w:abstractNumId w:val="8"/>
  </w:num>
  <w:num w:numId="18">
    <w:abstractNumId w:val="11"/>
  </w:num>
  <w:num w:numId="19">
    <w:abstractNumId w:val="25"/>
  </w:num>
  <w:num w:numId="20">
    <w:abstractNumId w:val="19"/>
  </w:num>
  <w:num w:numId="21">
    <w:abstractNumId w:val="13"/>
  </w:num>
  <w:num w:numId="22">
    <w:abstractNumId w:val="22"/>
  </w:num>
  <w:num w:numId="23">
    <w:abstractNumId w:val="16"/>
  </w:num>
  <w:num w:numId="24">
    <w:abstractNumId w:val="9"/>
  </w:num>
  <w:num w:numId="25">
    <w:abstractNumId w:val="4"/>
  </w:num>
  <w:num w:numId="26">
    <w:abstractNumId w:val="34"/>
  </w:num>
  <w:num w:numId="27">
    <w:abstractNumId w:val="10"/>
  </w:num>
  <w:num w:numId="28">
    <w:abstractNumId w:val="28"/>
  </w:num>
  <w:num w:numId="29">
    <w:abstractNumId w:val="1"/>
  </w:num>
  <w:num w:numId="30">
    <w:abstractNumId w:val="17"/>
  </w:num>
  <w:num w:numId="31">
    <w:abstractNumId w:val="32"/>
  </w:num>
  <w:num w:numId="32">
    <w:abstractNumId w:val="14"/>
  </w:num>
  <w:num w:numId="33">
    <w:abstractNumId w:val="5"/>
  </w:num>
  <w:num w:numId="34">
    <w:abstractNumId w:val="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E4"/>
    <w:rsid w:val="002A16C6"/>
    <w:rsid w:val="002A55FE"/>
    <w:rsid w:val="004758A2"/>
    <w:rsid w:val="00582AB1"/>
    <w:rsid w:val="00744CCB"/>
    <w:rsid w:val="00766993"/>
    <w:rsid w:val="0085056D"/>
    <w:rsid w:val="00A26AE3"/>
    <w:rsid w:val="00B406AE"/>
    <w:rsid w:val="00CE7DE4"/>
    <w:rsid w:val="00E42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E18A0-CCD2-49B6-A6BE-19098941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F75"/>
    <w:pPr>
      <w:ind w:left="720"/>
      <w:contextualSpacing/>
    </w:pPr>
  </w:style>
  <w:style w:type="character" w:styleId="Hyperlink">
    <w:name w:val="Hyperlink"/>
    <w:basedOn w:val="DefaultParagraphFont"/>
    <w:uiPriority w:val="99"/>
    <w:unhideWhenUsed/>
    <w:rsid w:val="00E42F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591466">
      <w:bodyDiv w:val="1"/>
      <w:marLeft w:val="0"/>
      <w:marRight w:val="0"/>
      <w:marTop w:val="0"/>
      <w:marBottom w:val="0"/>
      <w:divBdr>
        <w:top w:val="none" w:sz="0" w:space="0" w:color="auto"/>
        <w:left w:val="none" w:sz="0" w:space="0" w:color="auto"/>
        <w:bottom w:val="none" w:sz="0" w:space="0" w:color="auto"/>
        <w:right w:val="none" w:sz="0" w:space="0" w:color="auto"/>
      </w:divBdr>
    </w:div>
    <w:div w:id="13749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Gonzales</dc:creator>
  <cp:keywords/>
  <dc:description/>
  <cp:lastModifiedBy>Brenda Suazo-Giles</cp:lastModifiedBy>
  <cp:revision>2</cp:revision>
  <dcterms:created xsi:type="dcterms:W3CDTF">2020-12-09T16:46:00Z</dcterms:created>
  <dcterms:modified xsi:type="dcterms:W3CDTF">2020-12-09T16:46:00Z</dcterms:modified>
</cp:coreProperties>
</file>