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9B24" w14:textId="5D66D988" w:rsidR="007F44A2" w:rsidRPr="000B3FCC" w:rsidRDefault="00762873" w:rsidP="000B3FCC">
      <w:pPr>
        <w:jc w:val="center"/>
        <w:rPr>
          <w:b/>
          <w:bCs/>
        </w:rPr>
      </w:pPr>
      <w:r>
        <w:rPr>
          <w:b/>
          <w:bCs/>
        </w:rPr>
        <w:t xml:space="preserve">Proposed </w:t>
      </w:r>
      <w:r w:rsidR="007F44A2" w:rsidRPr="000B3FCC">
        <w:rPr>
          <w:b/>
          <w:bCs/>
        </w:rPr>
        <w:t>Changes to MAPs</w:t>
      </w:r>
    </w:p>
    <w:p w14:paraId="185C379A" w14:textId="70B3EEB1" w:rsidR="0078329B" w:rsidRDefault="007F44A2" w:rsidP="009D2679">
      <w:pPr>
        <w:jc w:val="center"/>
      </w:pPr>
      <w:r>
        <w:t>Fiscal Year 202</w:t>
      </w:r>
      <w:r w:rsidR="0078329B">
        <w:t>7</w:t>
      </w:r>
    </w:p>
    <w:p w14:paraId="3B6C173D" w14:textId="77777777" w:rsidR="00F824E6" w:rsidRPr="009D2679" w:rsidRDefault="00F824E6" w:rsidP="009D2679">
      <w:pPr>
        <w:jc w:val="center"/>
      </w:pPr>
    </w:p>
    <w:p w14:paraId="3DEC931D" w14:textId="61D8476B" w:rsidR="00F824E6" w:rsidRDefault="00F824E6">
      <w:r>
        <w:t>FIN 1.1.D.6 – added reversion clarifying language.</w:t>
      </w:r>
    </w:p>
    <w:p w14:paraId="6C045B61" w14:textId="2BAA4382" w:rsidR="007F44A2" w:rsidRDefault="00EF2F83">
      <w:r w:rsidRPr="0054535A">
        <w:t>FIN 2.14.D.5 – Stale Date/Escheatment of Warrant – allowing for the repayment of staled dated checks directly from the 241900 account prior to year-end.</w:t>
      </w:r>
    </w:p>
    <w:p w14:paraId="1D89120F" w14:textId="4C66440D" w:rsidR="003E46AF" w:rsidRDefault="003E46AF">
      <w:r w:rsidRPr="003E46AF">
        <w:t>FIN 2.15 – removed the executive attestation requirement associated with PCI self-reporting compliance reviews.</w:t>
      </w:r>
    </w:p>
    <w:p w14:paraId="1161629D" w14:textId="7242DDF9" w:rsidR="0078329B" w:rsidRDefault="0078329B">
      <w:r>
        <w:t xml:space="preserve">FIN 4.2.D.6-7 – added a requirement for the contracts review bureau (CRB) at GSD to be notified of prior year payments on professional service contracts (executive branch agencies only).  Also added the prior year account code for the </w:t>
      </w:r>
      <w:proofErr w:type="gramStart"/>
      <w:r>
        <w:t>300 category</w:t>
      </w:r>
      <w:proofErr w:type="gramEnd"/>
      <w:r>
        <w:t xml:space="preserve"> related to services.</w:t>
      </w:r>
    </w:p>
    <w:p w14:paraId="5DB69E8A" w14:textId="6016A60B" w:rsidR="003E46AF" w:rsidRDefault="003E46AF">
      <w:r w:rsidRPr="003E46AF">
        <w:t>FIN 4.3 – Expanded purchase origin guidance (FEMA EXC use and CRB applicability to statewide price agreements).</w:t>
      </w:r>
    </w:p>
    <w:p w14:paraId="3DB6ED26" w14:textId="77777777" w:rsidR="0078329B" w:rsidRDefault="0078329B">
      <w:r>
        <w:t>FIN 4.16.B.1 – added a requirement for executive branch agencies to notify CRB at GSD when a direct payment for professional services occurs.</w:t>
      </w:r>
    </w:p>
    <w:p w14:paraId="6442168C" w14:textId="77777777" w:rsidR="0078329B" w:rsidRDefault="0078329B">
      <w:r>
        <w:t>FIN 5.4.D.2 &amp; 6 – added requirement for warrant cancellations to be submitted electronically via SMARs and updated the definition of Type A and Type B cancellation types.</w:t>
      </w:r>
    </w:p>
    <w:p w14:paraId="1B78F2B8" w14:textId="28A9E7FA" w:rsidR="003E46AF" w:rsidRDefault="003E46AF">
      <w:r w:rsidRPr="003E46AF">
        <w:t>FIN 5.1 – Clarification that petty cash limits apply per receipt rather than per transaction.</w:t>
      </w:r>
    </w:p>
    <w:p w14:paraId="38F15CEE" w14:textId="77777777" w:rsidR="00F40FA4" w:rsidRDefault="0078329B">
      <w:r>
        <w:t>FIN 5.9.D.1 – added requirement that advance travel payments cannot be processed if the travel has already begun.</w:t>
      </w:r>
    </w:p>
    <w:p w14:paraId="699270FC" w14:textId="0E9E9720" w:rsidR="005B0B6D" w:rsidRDefault="00F40FA4">
      <w:r>
        <w:t>FIN 5.10.B.9 – increased the threshold for DFA voucher approval from $200 to $500.</w:t>
      </w:r>
    </w:p>
    <w:p w14:paraId="28B7A5A8" w14:textId="25F5D895" w:rsidR="003E46AF" w:rsidRDefault="003E46AF">
      <w:r w:rsidRPr="003E46AF">
        <w:t>FIN 7.3 – Added STO responsibility to establish rebate funds for STBs and GOBs.</w:t>
      </w:r>
    </w:p>
    <w:p w14:paraId="3C6A2440" w14:textId="037D4EB4" w:rsidR="00D308CF" w:rsidRDefault="00D308CF">
      <w:r>
        <w:t>FIN 9.2 – updated to incorporate requirements from the Public Finance Accountability Act.</w:t>
      </w:r>
    </w:p>
    <w:p w14:paraId="3AA10687" w14:textId="3E1C8A37" w:rsidR="009D2679" w:rsidRDefault="00D308CF">
      <w:r>
        <w:t>FIN 9.3.D.3 – added language to require adequate security for disbursement under loan or credit facilities.</w:t>
      </w:r>
    </w:p>
    <w:p w14:paraId="5DCF52E0" w14:textId="3997D5F7" w:rsidR="00D308CF" w:rsidRDefault="00D308CF">
      <w:r>
        <w:t>FIN 9.3.D.7 – created accounting requirements regarding the use of credit facilities.</w:t>
      </w:r>
    </w:p>
    <w:p w14:paraId="1BD077E2" w14:textId="3FA2CE39" w:rsidR="00D308CF" w:rsidRDefault="00D308CF">
      <w:r>
        <w:t>FIN 9.4.D.1 – created a requirement for state agencies to use the DFA template for subrecipient agreements and contracts [related to federal awards].</w:t>
      </w:r>
    </w:p>
    <w:p w14:paraId="4B70ECA9" w14:textId="7520CC13" w:rsidR="00D308CF" w:rsidRDefault="00D308CF">
      <w:r>
        <w:lastRenderedPageBreak/>
        <w:t>FIN 9.4.D.6 – added a definition of equipment for state purposes.</w:t>
      </w:r>
    </w:p>
    <w:p w14:paraId="29905390" w14:textId="0FEDD734" w:rsidR="00D308CF" w:rsidRDefault="00D308CF">
      <w:r>
        <w:t>FIN 9.4.D.9 – added indirect cost rate requirements and updated the single audit requirement threshold to $1,000,000.</w:t>
      </w:r>
    </w:p>
    <w:p w14:paraId="5DDF3441" w14:textId="05F4DFD3" w:rsidR="00B475A0" w:rsidRDefault="00B475A0">
      <w:r>
        <w:t>FIN 16.10 – added a new section with requirements for business continuity and disaster recovery.</w:t>
      </w:r>
    </w:p>
    <w:p w14:paraId="65014760" w14:textId="33595D77" w:rsidR="00B475A0" w:rsidRDefault="00B475A0">
      <w:r>
        <w:t xml:space="preserve">HR 2.5.F – updated requirements for direct deposit account </w:t>
      </w:r>
      <w:r w:rsidR="00831B04">
        <w:t xml:space="preserve">update/edit </w:t>
      </w:r>
      <w:r>
        <w:t>access and training.</w:t>
      </w:r>
    </w:p>
    <w:p w14:paraId="326EC599" w14:textId="4E9FF5FE" w:rsidR="00831B04" w:rsidRDefault="00831B04">
      <w:r>
        <w:t>HR 2.8.F.3.c.i – added a requirement to verify overpayment deductions.</w:t>
      </w:r>
    </w:p>
    <w:p w14:paraId="57073B7D" w14:textId="4082D624" w:rsidR="00831B04" w:rsidRDefault="00831B04">
      <w:r>
        <w:t>PR 1.6 – added a new section for annual leave buy-back related to collective bargaining agreements.</w:t>
      </w:r>
    </w:p>
    <w:p w14:paraId="10632209" w14:textId="46F9CEFC" w:rsidR="00831B04" w:rsidRDefault="00831B04">
      <w:r>
        <w:t>PR 1.7 – added a new section for requirements related to terminal leave payouts.</w:t>
      </w:r>
    </w:p>
    <w:p w14:paraId="587E54B7" w14:textId="2B90A1B8" w:rsidR="00831B04" w:rsidRDefault="00831B04">
      <w:r>
        <w:t>PR 1.8 – added a new section for final paycheck-involuntary terminations.</w:t>
      </w:r>
    </w:p>
    <w:p w14:paraId="1214E74A" w14:textId="77777777" w:rsidR="00831B04" w:rsidRDefault="00831B04"/>
    <w:p w14:paraId="201C2BF7" w14:textId="77777777" w:rsidR="009D2679" w:rsidRDefault="009D2679" w:rsidP="009D2679">
      <w:pPr>
        <w:rPr>
          <w:i/>
          <w:iCs/>
        </w:rPr>
      </w:pPr>
      <w:r w:rsidRPr="0078329B">
        <w:rPr>
          <w:i/>
          <w:iCs/>
        </w:rPr>
        <w:t>As a reminder, GASB 103 and 104 guidance will be provided by the Controller’s Office separately and published in MAPs on 7/1.</w:t>
      </w:r>
    </w:p>
    <w:p w14:paraId="195593E3" w14:textId="77777777" w:rsidR="00430DE1" w:rsidRDefault="00430DE1" w:rsidP="009D2679">
      <w:pPr>
        <w:rPr>
          <w:i/>
          <w:iCs/>
        </w:rPr>
      </w:pPr>
    </w:p>
    <w:p w14:paraId="2BE7D43F" w14:textId="28F7987E" w:rsidR="00430DE1" w:rsidRPr="00430DE1" w:rsidRDefault="00430DE1" w:rsidP="009D2679">
      <w:r w:rsidRPr="00430DE1">
        <w:rPr>
          <w:highlight w:val="yellow"/>
        </w:rPr>
        <w:t>Comments must be submitted to the Controller’s office by the close of business Wednesday, June 17, 2026.</w:t>
      </w:r>
    </w:p>
    <w:p w14:paraId="06770C36" w14:textId="77777777" w:rsidR="009D2679" w:rsidRDefault="009D2679"/>
    <w:sectPr w:rsidR="009D2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A2"/>
    <w:rsid w:val="000532F0"/>
    <w:rsid w:val="000568AA"/>
    <w:rsid w:val="00061C61"/>
    <w:rsid w:val="000961FB"/>
    <w:rsid w:val="000B3FCC"/>
    <w:rsid w:val="0013753A"/>
    <w:rsid w:val="001645B4"/>
    <w:rsid w:val="00183EDD"/>
    <w:rsid w:val="001E278F"/>
    <w:rsid w:val="002035EA"/>
    <w:rsid w:val="00215110"/>
    <w:rsid w:val="00267D49"/>
    <w:rsid w:val="002A2FBF"/>
    <w:rsid w:val="00314D06"/>
    <w:rsid w:val="00351EC2"/>
    <w:rsid w:val="00366CCF"/>
    <w:rsid w:val="003E46AF"/>
    <w:rsid w:val="00421D21"/>
    <w:rsid w:val="00430DE1"/>
    <w:rsid w:val="004629CF"/>
    <w:rsid w:val="004737A0"/>
    <w:rsid w:val="0054535A"/>
    <w:rsid w:val="005B0B6D"/>
    <w:rsid w:val="005B7965"/>
    <w:rsid w:val="005D7513"/>
    <w:rsid w:val="0063066F"/>
    <w:rsid w:val="0067732D"/>
    <w:rsid w:val="00684A3E"/>
    <w:rsid w:val="006B3AF2"/>
    <w:rsid w:val="006C3213"/>
    <w:rsid w:val="00762873"/>
    <w:rsid w:val="00774E0D"/>
    <w:rsid w:val="0078329B"/>
    <w:rsid w:val="007A1A64"/>
    <w:rsid w:val="007F44A2"/>
    <w:rsid w:val="0080060E"/>
    <w:rsid w:val="00805C17"/>
    <w:rsid w:val="00831B04"/>
    <w:rsid w:val="0091551E"/>
    <w:rsid w:val="009D2679"/>
    <w:rsid w:val="00A21599"/>
    <w:rsid w:val="00A2301A"/>
    <w:rsid w:val="00A8354D"/>
    <w:rsid w:val="00B22AE1"/>
    <w:rsid w:val="00B475A0"/>
    <w:rsid w:val="00B8500C"/>
    <w:rsid w:val="00BB1977"/>
    <w:rsid w:val="00C45D0C"/>
    <w:rsid w:val="00CB5C9F"/>
    <w:rsid w:val="00CC695A"/>
    <w:rsid w:val="00CE4EFA"/>
    <w:rsid w:val="00D03948"/>
    <w:rsid w:val="00D308CF"/>
    <w:rsid w:val="00D4330C"/>
    <w:rsid w:val="00DD7663"/>
    <w:rsid w:val="00DE3E00"/>
    <w:rsid w:val="00E53D8E"/>
    <w:rsid w:val="00EA056C"/>
    <w:rsid w:val="00EA2464"/>
    <w:rsid w:val="00ED58BC"/>
    <w:rsid w:val="00EF25C6"/>
    <w:rsid w:val="00EF2F83"/>
    <w:rsid w:val="00F40FA4"/>
    <w:rsid w:val="00F4399E"/>
    <w:rsid w:val="00F824E6"/>
    <w:rsid w:val="00FE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FCA"/>
  <w15:chartTrackingRefBased/>
  <w15:docId w15:val="{AEEECB63-9271-4AA8-BEF1-9A8193A1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4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4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4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4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4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4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4A2"/>
    <w:rPr>
      <w:rFonts w:eastAsiaTheme="majorEastAsia" w:cstheme="majorBidi"/>
      <w:color w:val="272727" w:themeColor="text1" w:themeTint="D8"/>
    </w:rPr>
  </w:style>
  <w:style w:type="paragraph" w:styleId="Title">
    <w:name w:val="Title"/>
    <w:basedOn w:val="Normal"/>
    <w:next w:val="Normal"/>
    <w:link w:val="TitleChar"/>
    <w:uiPriority w:val="10"/>
    <w:qFormat/>
    <w:rsid w:val="007F4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4A2"/>
    <w:pPr>
      <w:spacing w:before="160"/>
      <w:jc w:val="center"/>
    </w:pPr>
    <w:rPr>
      <w:i/>
      <w:iCs/>
      <w:color w:val="404040" w:themeColor="text1" w:themeTint="BF"/>
    </w:rPr>
  </w:style>
  <w:style w:type="character" w:customStyle="1" w:styleId="QuoteChar">
    <w:name w:val="Quote Char"/>
    <w:basedOn w:val="DefaultParagraphFont"/>
    <w:link w:val="Quote"/>
    <w:uiPriority w:val="29"/>
    <w:rsid w:val="007F44A2"/>
    <w:rPr>
      <w:i/>
      <w:iCs/>
      <w:color w:val="404040" w:themeColor="text1" w:themeTint="BF"/>
    </w:rPr>
  </w:style>
  <w:style w:type="paragraph" w:styleId="ListParagraph">
    <w:name w:val="List Paragraph"/>
    <w:basedOn w:val="Normal"/>
    <w:uiPriority w:val="34"/>
    <w:qFormat/>
    <w:rsid w:val="007F44A2"/>
    <w:pPr>
      <w:ind w:left="720"/>
      <w:contextualSpacing/>
    </w:pPr>
  </w:style>
  <w:style w:type="character" w:styleId="IntenseEmphasis">
    <w:name w:val="Intense Emphasis"/>
    <w:basedOn w:val="DefaultParagraphFont"/>
    <w:uiPriority w:val="21"/>
    <w:qFormat/>
    <w:rsid w:val="007F44A2"/>
    <w:rPr>
      <w:i/>
      <w:iCs/>
      <w:color w:val="0F4761" w:themeColor="accent1" w:themeShade="BF"/>
    </w:rPr>
  </w:style>
  <w:style w:type="paragraph" w:styleId="IntenseQuote">
    <w:name w:val="Intense Quote"/>
    <w:basedOn w:val="Normal"/>
    <w:next w:val="Normal"/>
    <w:link w:val="IntenseQuoteChar"/>
    <w:uiPriority w:val="30"/>
    <w:qFormat/>
    <w:rsid w:val="007F4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4A2"/>
    <w:rPr>
      <w:i/>
      <w:iCs/>
      <w:color w:val="0F4761" w:themeColor="accent1" w:themeShade="BF"/>
    </w:rPr>
  </w:style>
  <w:style w:type="character" w:styleId="IntenseReference">
    <w:name w:val="Intense Reference"/>
    <w:basedOn w:val="DefaultParagraphFont"/>
    <w:uiPriority w:val="32"/>
    <w:qFormat/>
    <w:rsid w:val="007F44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Melhoff, Mark S, DFA</dc:creator>
  <cp:keywords/>
  <dc:description/>
  <cp:lastModifiedBy>Melhoff, Mark S, DFA</cp:lastModifiedBy>
  <cp:revision>7</cp:revision>
  <dcterms:created xsi:type="dcterms:W3CDTF">2026-06-09T13:56:00Z</dcterms:created>
  <dcterms:modified xsi:type="dcterms:W3CDTF">2026-06-10T20:30:00Z</dcterms:modified>
</cp:coreProperties>
</file>