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NM Civil Legal Services Commission</w:t>
      </w:r>
    </w:p>
    <w:p>
      <w:pPr/>
      <w:r>
        <w:rPr>
          <w:b/>
        </w:rPr>
        <w:t xml:space="preserve">Regular Meeting Minutes</w:t>
      </w:r>
    </w:p>
    <w:p>
      <w:pPr/>
      <w:r>
        <w:rPr>
          <w:b/>
        </w:rPr>
        <w:t xml:space="preserve">August 12, 2026, 1:00pm to 3:00pm, Mountain</w:t>
      </w:r>
    </w:p>
    <w:p>
      <w:pPr/>
      <w:r>
        <w:rPr>
          <w:b/>
        </w:rPr>
        <w:t xml:space="preserve">Via Microsoft Teams</w:t>
      </w:r>
    </w:p>
    <w:p>
      <w:pPr>
        <w:pStyle w:val="Heading2"/>
      </w:pPr>
      <w:r>
        <w:t xml:space="preserve">1. Call to Order and Roll Call</w:t>
      </w:r>
    </w:p>
    <w:p>
      <w:pPr/>
      <w:r>
        <w:t xml:space="preserve">Chair Mark Fidel called the regular meeting of the Civil Legal Services Commission to order at 1:04 p.m. and noted that the meeting was being conducted remotely via Microsoft Teams only. Roll call was taken: Liz McGrath present, Julio Romero present, and Mark Fidel present. Donna Connolly was present in the meeting but initially unable to unmute. A quorum was confirmed. Also in attendance were Zachary Shandler, Commission counsel; George Hypolite, DFA General Counsel; and Hallie Brown, Deputy Director, DFA Local Government Division.</w:t>
      </w:r>
    </w:p>
    <w:p>
      <w:pPr>
        <w:pStyle w:val="Heading2"/>
      </w:pPr>
      <w:r>
        <w:t xml:space="preserve">2. Approval of Agenda</w:t>
      </w:r>
    </w:p>
    <w:p>
      <w:pPr/>
      <w:r>
        <w:t xml:space="preserve">A motion was made and seconded to approve the agenda as presented. There was no discussion, and the motion passed unanimously.</w:t>
      </w:r>
    </w:p>
    <w:p>
      <w:pPr>
        <w:pStyle w:val="Heading2"/>
      </w:pPr>
      <w:r>
        <w:t xml:space="preserve">3. Election of New Chair</w:t>
      </w:r>
    </w:p>
    <w:p>
      <w:pPr/>
      <w:r>
        <w:t xml:space="preserve">Chair Fidel announced that he is stepping down as Chair of the Commission and called for a motion to elect a new Chair. Commissioner Romero moved to elect Liz McGrath as Chair, and the motion was seconded. During discussion, Commissioners McGrath and Romero thanked Chair Fidel for his service, and Commissioner Romero noted his confidence in Commissioner McGrath based on their recent work together reviewing proposals. The motion passed unanimously, and Commissioner McGrath assumed the duties of Chair for the remainder of the meeting.</w:t>
      </w:r>
    </w:p>
    <w:p>
      <w:pPr>
        <w:pStyle w:val="Heading2"/>
      </w:pPr>
      <w:r>
        <w:t xml:space="preserve">4. Approval of Minutes of Prior Meetings</w:t>
      </w:r>
    </w:p>
    <w:p>
      <w:pPr/>
      <w:r>
        <w:t xml:space="preserve">Three sets of minutes were before the Commission. Commission staff suggested the Commission consider them individually if any Commissioner had edits, or together by consent if not. A motion was made and seconded to approve the minutes of the June 18, 2026 meeting, the June 23, 2026 special meeting, and the July 7, 2026 special meeting. There was no discussion, and the motion passed unanimously.</w:t>
      </w:r>
    </w:p>
    <w:p>
      <w:pPr>
        <w:pStyle w:val="Heading2"/>
      </w:pPr>
      <w:r>
        <w:t xml:space="preserve">5. Report on the Status of the FY27 Procurement</w:t>
      </w:r>
    </w:p>
    <w:p>
      <w:pPr/>
      <w:r>
        <w:t xml:space="preserve">DFA staff reported that protests related to the 2026 New Mexico Civil Legal Services RFP are still being resolved and are expected to be resolved in the near future. Once resolved, DFA will enter into contracts with the providers selected by the Commission at its prior meeting. Staff will remain in contact with the Commission on that process, and providers with specific questions were directed to the DFA procurement team. The Chair encouraged DFA to expedite contracting given the impact of the delay on providers.</w:t>
      </w:r>
    </w:p>
    <w:p>
      <w:pPr>
        <w:pStyle w:val="Heading3"/>
      </w:pPr>
      <w:r>
        <w:t xml:space="preserve">a) Proposed Move to Prequalification Process</w:t>
      </w:r>
    </w:p>
    <w:p>
      <w:pPr/>
      <w:r>
        <w:t xml:space="preserve">The Chair noted that DFA has recommended the Commission move away from a traditional RFP process to a prequalification process. DFA staff explained that DFA would issue, on the Commission's behalf, an RFP to prequalify civil legal services providers for funding made available to the Commission beginning in FY28. The Commission would serve as the evaluation committee for the prequalification RFP, determining which offerors meet the evaluation criteria. The resulting list of prequalified providers would serve as the Commission's provider network for the four-year life of the RFP.</w:t>
      </w:r>
    </w:p>
    <w:p>
      <w:pPr/>
      <w:r>
        <w:t xml:space="preserve">When funding becomes available, the Commission could award funding to providers on the prequalified list at its discretion, under its statutory authority over the Civil Legal Services Fund, without issuing a new RFP. DFA General Counsel added that this would also allow the Commission to award any additional funding received outside the regular cycle, such as through a special session, to prequalified providers. Staff noted that the approach offers the Commission a more flexible timeline than a traditional RFP. Staff also reported that DFA had notified existing and prospective providers in advance that the Commission would consider this change at this meeting.</w:t>
      </w:r>
    </w:p>
    <w:p>
      <w:pPr/>
      <w:r>
        <w:t xml:space="preserve">Staff reported that the non-discretionary content of the RFP is drafted, and that DFA is ready to work with a designated Commissioner to finalize the mandatory specifications and evaluation criteria.</w:t>
      </w:r>
    </w:p>
    <w:p>
      <w:pPr/>
      <w:r>
        <w:t xml:space="preserve">A motion was made and seconded to proceed with a prequalification process. During discussion, a Commissioner asked how potential providers would be notified. Staff explained that, working with Commissioner McGrath, a distribution list of existing and prospective providers had been developed from lists previously maintained for the Commission and additional research, and would be used to notify providers when the RFP is published. DFA General Counsel noted that the RFP would also be formally advertised in a newspaper of general circulation, typically the Albuquerque Journal, and that DFA is available to support any broader outreach the Commission wishes to pursue. The motion passed with no nays.</w:t>
      </w:r>
    </w:p>
    <w:p>
      <w:pPr>
        <w:pStyle w:val="Heading3"/>
      </w:pPr>
      <w:r>
        <w:t xml:space="preserve">b) Appoint Commissioner to Work with DFA on the Prequalification Process</w:t>
      </w:r>
    </w:p>
    <w:p>
      <w:pPr/>
      <w:r>
        <w:t xml:space="preserve">DFA General Counsel described next steps: DFA's Administrative Services Division will prepare a draft of the RFP for individual review and comment by Commissioners. DFA will consolidate comments into a working draft for further review, and the Commission will vote on issuance of the final RFP at a subsequent meeting. DFA committed to have the draft ready for the September 10, 2026 meeting if that is the will of the Commission. The Chair asked Commissioners to confirm their availability to review the draft RFP over the coming month, and Commissioners Connolly and Romero confirmed their availability. No formal appointment was voted on.</w:t>
      </w:r>
    </w:p>
    <w:p>
      <w:pPr>
        <w:pStyle w:val="Heading2"/>
      </w:pPr>
      <w:r>
        <w:t xml:space="preserve">6. GRO Funding and 2027 Legislative Strategy</w:t>
      </w:r>
    </w:p>
    <w:p>
      <w:pPr/>
      <w:r>
        <w:t xml:space="preserve">The Chair noted her understanding that there are now two GRO funding mechanisms: the statutorily created GRO Fund, and appropriations still referred to as GRO that function more like the former "junior bill." DFA staff confirmed this understanding and noted that GRO appropriations are typically made on a two-year cycle. Because GRO appropriations were made in the last session, it is unclear whether the Legislature intends to make GRO appropriations in the 2027 session. DFA General Counsel had nothing further to add.</w:t>
      </w:r>
    </w:p>
    <w:p>
      <w:pPr/>
      <w:r>
        <w:t xml:space="preserve">The Chair reported that she has heard significant funding may be available through junior-type GRO appropriations in the 2027 session. She also reported that Henry Valdez, DFA Director of Legislative and Local Government Affairs, indicated the Governor would like the Commission to submit a special appropriation request, and that she will work with him to develop a request amount. DFA General Counsel clarified that the Commission's general operating budget is always included in the executive recommendation, and that a special appropriation request for an identified need in FY28 or FY29 does not preclude the Commission from also requesting an increase to its regular operating budget.</w:t>
      </w:r>
    </w:p>
    <w:p>
      <w:pPr>
        <w:pStyle w:val="Heading2"/>
      </w:pPr>
      <w:r>
        <w:t xml:space="preserve">7. FY2028 Budget Information for the Commission: Provider Input</w:t>
      </w:r>
    </w:p>
    <w:p>
      <w:pPr/>
      <w:r>
        <w:t xml:space="preserve">The Chair recognized Teague Gonzalez, Executive Director of the New Mexico Immigrant Law Center, speaking on behalf of the 11 traditionally funded civil legal services providers. Mr. Gonzalez reported that the Commission is awarding approximately $10.4 million in FY27 through a combination of general fund recurring and special appropriations, fund balance from civil fees, and GRO funding. If the general fund appropriation remains flat in FY28, available funding would be approximately $6.9 million, because no FY28 special appropriation has been made, GRO funds do not cover the difference, and fee revenue averages about $1.5 million annually. This would amount to roughly a one-third reduction in civil legal services statewide.</w:t>
      </w:r>
    </w:p>
    <w:p>
      <w:pPr/>
      <w:r>
        <w:t xml:space="preserve">Mr. Gonzalez noted that general fund covers less than 40 percent of what the Commission allocates, and that a flat request would result in a cut. He added that the move to prequalification is expected to increase the number of providers drawing from the same pool, which providers support given the unmet need statewide, but which will require additional funding. The providers recommended a $10.6 million increase in recurring general fund, which they described as roughly 59 percent preservation of existing services and 41 percent expansion, along with an additional special appropriation. He offered to send the providers' position to the Commission in a letter through their lobbyist, and DFA staff asked to be copied for the Commission's file.</w:t>
      </w:r>
    </w:p>
    <w:p>
      <w:pPr/>
      <w:r>
        <w:t xml:space="preserve">Juliana Koob, lobbyist for civil legal services providers, stated that the Commission's recurring budget has been approximately $4.2 million for many years, with most increases coming as one-time funding, and that stable recurring funding is needed for providers to maintain staffing and expand services. She noted that the requested increase would bring total recurring funding to $14.8 million, and that as an independent Commission, its budget request is transmitted by DFA to the Governor. DFA staff confirmed this process and noted that while budget requests from attached boards and commissions were due August 10, an exception was made so the Commission's request could be entered following this meeting.</w:t>
      </w:r>
    </w:p>
    <w:p>
      <w:pPr/>
      <w:r>
        <w:t xml:space="preserve">In response to a question from Commissioner Fidel, DFA General Counsel stated that DFA cannot disclose in a public meeting any budget direction received from the Governor's Office, but confirmed that DFA will transmit the Commission's request as decided by the Commission. Commissioner Fidel noted that this does not preclude the Governor's Office from changing the amount.</w:t>
      </w:r>
    </w:p>
    <w:p>
      <w:pPr/>
      <w:r>
        <w:t xml:space="preserve">The Chair expressed agreement that relying on special appropriations to supplement recurring funding each year does not serve providers or New Mexicans well. A motion was made and seconded to request an increase of $10.6 million in the Commission's general fund recurring appropriation, for a total general operating budget request of $14.8 million. During discussion, Commissioner Romero expressed support for a larger request. The motion passed unanimously.</w:t>
      </w:r>
    </w:p>
    <w:p>
      <w:pPr/>
      <w:r>
        <w:t xml:space="preserve">DFA staff asked whether the total was intended entirely for grants to providers. The Commission indicated that DFA's administrative costs would come from the total, and staff will budget 5 percent of the request for administrative costs, with no objection from Commissioners.</w:t>
      </w:r>
    </w:p>
    <w:p>
      <w:pPr>
        <w:pStyle w:val="Heading2"/>
      </w:pPr>
      <w:r>
        <w:t xml:space="preserve">8. Other Business</w:t>
      </w:r>
    </w:p>
    <w:p>
      <w:pPr/>
      <w:r>
        <w:t xml:space="preserve">Commissioner Fidel announced that he has submitted his resignation to the Chief Justice of the New Mexico Supreme Court, which appointed him to the Commission. He thanked the providers for their work, his fellow Commissioners for their service, DFA staff for their work in learning the Commission's processes, and Zachary Shandler for his guidance as Commission counsel. The Chair thanked Commissioner Fidel for his years of service.</w:t>
      </w:r>
    </w:p>
    <w:p>
      <w:pPr/>
      <w:r>
        <w:t xml:space="preserve">The Chair noted that the Commission will have two vacancies following this meeting: the seat appointed by the Supreme Court and a seat previously held by John Arango, who was appointed by the Governor. DFA staff offered to collect and transmit recommendations for gubernatorial appointments on behalf of the Commission, and noted less familiarity with the Supreme Court's appointment process. The Chair encouraged Commissioners and stakeholders to submit nominations of candidates knowledgeable about civil legal services and from diverse backgrounds.</w:t>
      </w:r>
    </w:p>
    <w:p>
      <w:pPr>
        <w:pStyle w:val="Heading2"/>
      </w:pPr>
      <w:r>
        <w:t xml:space="preserve">9. Next Meeting</w:t>
      </w:r>
    </w:p>
    <w:p>
      <w:pPr/>
      <w:r>
        <w:t xml:space="preserve">The next meeting of the Commission is scheduled for September 10, 2026, at 3:00 p.m. The Chair anticipated an update on FY27 provider contracts, with funding retroactive to July 1, and possible consideration of the prequalification RFP.</w:t>
      </w:r>
    </w:p>
    <w:p>
      <w:pPr>
        <w:pStyle w:val="Heading2"/>
      </w:pPr>
      <w:r>
        <w:t xml:space="preserve">10. Adjournment</w:t>
      </w:r>
    </w:p>
    <w:p>
      <w:pPr/>
      <w:r>
        <w:t xml:space="preserve">A motion to adjourn was made and seconded, and the motion passed without objection. Before adjourning, the Chair acknowledged the difficulties of this year's procurement process and encouraged all parties to look forward and continue working to improve the civil legal services system. She also encouraged providers to engage the gubernatorial candidates on civil legal services. The meeting was adjourned at approximately 1:54 p.m.</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Calibri"/>
        <w:sz w:val="22"/>
        <w:szCs w:val="22"/>
        <w:lang w:val="en-US"/>
      </w:rPr>
    </w:rPrDefault>
    <w:pPrDefault>
      <w:pPr>
        <w:spacing w:after="160" w:line="259"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sz w:val="32"/>
    </w:rPr>
  </w:style>
  <w:style w:type="paragraph" w:styleId="Heading2">
    <w:name w:val="heading 2"/>
    <w:basedOn w:val="Normal"/>
    <w:next w:val="Normal"/>
    <w:qFormat/>
    <w:pPr>
      <w:keepNext/>
      <w:spacing w:before="280" w:after="100"/>
      <w:outlineLvl w:val="1"/>
    </w:pPr>
    <w:rPr>
      <w:b/>
      <w:sz w:val="26"/>
    </w:rPr>
  </w:style>
  <w:style w:type="paragraph" w:styleId="Heading3">
    <w:name w:val="heading 3"/>
    <w:basedOn w:val="Normal"/>
    <w:next w:val="Normal"/>
    <w:qFormat/>
    <w:pPr>
      <w:keepNext/>
      <w:spacing w:before="240" w:after="80"/>
      <w:outlineLvl w:val="2"/>
    </w:pPr>
    <w:rPr>
      <w:b/>
      <w:sz w:val="24"/>
    </w:rPr>
  </w:style>
  <w:style w:type="paragraph" w:styleId="Heading4">
    <w:name w:val="heading 4"/>
    <w:basedOn w:val="Normal"/>
    <w:next w:val="Normal"/>
    <w:qFormat/>
    <w:pPr>
      <w:keepNext/>
      <w:outlineLvl w:val="3"/>
    </w:pPr>
    <w:rPr>
      <w:b/>
      <w:sz w:val="22"/>
    </w:rPr>
  </w:style>
  <w:style w:type="paragraph" w:styleId="Heading5">
    <w:name w:val="heading 5"/>
    <w:basedOn w:val="Normal"/>
    <w:next w:val="Normal"/>
    <w:qFormat/>
    <w:pPr>
      <w:keepNext/>
      <w:outlineLvl w:val="4"/>
    </w:pPr>
    <w:rPr>
      <w:b/>
      <w:sz w:val="22"/>
    </w:rPr>
  </w:style>
  <w:style w:type="paragraph" w:styleId="Heading6">
    <w:name w:val="heading 6"/>
    <w:basedOn w:val="Normal"/>
    <w:next w:val="Normal"/>
    <w:qFormat/>
    <w:pPr>
      <w:keepNext/>
      <w:outlineLvl w:val="5"/>
    </w:pPr>
    <w:rPr>
      <w:i/>
      <w:sz w:val="22"/>
    </w:rPr>
  </w:style>
  <w:style w:type="paragraph" w:styleId="Title">
    <w:name w:val="Title"/>
    <w:basedOn w:val="Normal"/>
    <w:next w:val="Normal"/>
    <w:qFormat/>
    <w:pPr>
      <w:spacing w:after="80"/>
      <w:contextualSpacing/>
    </w:pPr>
    <w:rPr>
      <w:sz w:val="56"/>
    </w:rPr>
  </w:style>
  <w:style w:type="paragraph" w:styleId="Quote">
    <w:name w:val="Quote"/>
    <w:basedOn w:val="Normal"/>
    <w:qFormat/>
    <w:pPr>
      <w:ind w:left="720" w:right="720"/>
      <w:pBdr>
        <w:left w:val="single" w:sz="12" w:space="8" w:color="A0A0A0"/>
      </w:pBdr>
    </w:pPr>
    <w:rPr>
      <w:i/>
      <w:color w:val="404040"/>
    </w:rPr>
  </w:style>
  <w:style w:type="paragraph" w:styleId="Code">
    <w:name w:val="Code"/>
    <w:basedOn w:val="Normal"/>
    <w:link w:val="CodeChar"/>
    <w:pPr>
      <w:spacing w:after="0" w:line="240" w:lineRule="auto"/>
      <w:contextualSpacing/>
      <w:shd w:val="clear" w:color="auto" w:fill="F5F5F5"/>
    </w:pPr>
    <w:rPr>
      <w:rFonts w:ascii="Consolas" w:hAnsi="Consolas" w:eastAsia="Consolas" w:cs="Consolas"/>
      <w:sz w:val="20"/>
    </w:rPr>
  </w:style>
  <w:style w:type="character" w:styleId="CodeChar">
    <w:name w:val="Code Char"/>
    <w:link w:val="Code"/>
    <w:rPr>
      <w:rFonts w:ascii="Consolas" w:hAnsi="Consolas" w:eastAsia="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Claude Docs</Application>
  <AppVersion>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NM Civil Legal Services Commission</dc:title>
  <dc:description>Claude Docs node/23a58cda-bf2e@9 docx-w7</dc:description>
  <cp:revision>9</cp:revision>
</cp:coreProperties>
</file>